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6A935798" w:rsidR="00E90E49" w:rsidRPr="00AE6B6A" w:rsidRDefault="00E90E49" w:rsidP="00E35559">
      <w:pPr>
        <w:pStyle w:val="3GPPHeader"/>
        <w:spacing w:after="60"/>
        <w:rPr>
          <w:szCs w:val="24"/>
        </w:rPr>
      </w:pPr>
      <w:r w:rsidRPr="00CE0424">
        <w:t>3GPP TSG-RAN WG</w:t>
      </w:r>
      <w:r w:rsidR="008F1C4E">
        <w:t>1</w:t>
      </w:r>
      <w:r w:rsidRPr="00CE0424">
        <w:t xml:space="preserve"> </w:t>
      </w:r>
      <w:r w:rsidR="008F1C4E">
        <w:t xml:space="preserve">Meeting </w:t>
      </w:r>
      <w:r w:rsidRPr="00CE0424">
        <w:t>#</w:t>
      </w:r>
      <w:r w:rsidR="00C15FCA">
        <w:t>104</w:t>
      </w:r>
      <w:r w:rsidR="00F30A46">
        <w:t>b</w:t>
      </w:r>
      <w:r w:rsidR="00C15FCA">
        <w:t>-e</w:t>
      </w:r>
      <w:r w:rsidRPr="00CE0424">
        <w:tab/>
      </w:r>
      <w:r w:rsidR="00091557" w:rsidRPr="000A615F">
        <w:rPr>
          <w:szCs w:val="24"/>
        </w:rPr>
        <w:t>R</w:t>
      </w:r>
      <w:r w:rsidR="008F1C4E" w:rsidRPr="000A615F">
        <w:rPr>
          <w:szCs w:val="24"/>
        </w:rPr>
        <w:t>1</w:t>
      </w:r>
      <w:r w:rsidR="00091557" w:rsidRPr="000A615F">
        <w:rPr>
          <w:szCs w:val="24"/>
        </w:rPr>
        <w:t>-</w:t>
      </w:r>
      <w:r w:rsidR="00B373F9" w:rsidRPr="00B373F9">
        <w:rPr>
          <w:szCs w:val="24"/>
        </w:rPr>
        <w:t>2103678</w:t>
      </w:r>
    </w:p>
    <w:p w14:paraId="7AFB81A5" w14:textId="1F280AEA" w:rsidR="00C15FCA" w:rsidRPr="00CE0424" w:rsidRDefault="002C0835" w:rsidP="00C15FCA">
      <w:pPr>
        <w:pStyle w:val="3GPPHeader"/>
      </w:pPr>
      <w:r>
        <w:t>e</w:t>
      </w:r>
      <w:r w:rsidR="00C15FCA">
        <w:t xml:space="preserve">-Meeting, </w:t>
      </w:r>
      <w:r w:rsidR="0050199D">
        <w:t>April</w:t>
      </w:r>
      <w:r w:rsidR="00C15FCA">
        <w:t xml:space="preserve"> </w:t>
      </w:r>
      <w:r w:rsidR="0050199D">
        <w:t>12</w:t>
      </w:r>
      <w:r w:rsidR="00C15FCA" w:rsidRPr="0083546B">
        <w:rPr>
          <w:vertAlign w:val="superscript"/>
        </w:rPr>
        <w:t>th</w:t>
      </w:r>
      <w:r w:rsidR="00C15FCA">
        <w:t xml:space="preserve"> – </w:t>
      </w:r>
      <w:r w:rsidR="0050199D">
        <w:t>April</w:t>
      </w:r>
      <w:r w:rsidR="00C15FCA">
        <w:t xml:space="preserve"> </w:t>
      </w:r>
      <w:r w:rsidR="0050199D">
        <w:t>20</w:t>
      </w:r>
      <w:r w:rsidR="00C15FCA" w:rsidRPr="0083546B">
        <w:rPr>
          <w:vertAlign w:val="superscript"/>
        </w:rPr>
        <w:t>th</w:t>
      </w:r>
      <w:r w:rsidR="00C15FCA">
        <w:t>, 2021</w:t>
      </w:r>
    </w:p>
    <w:p w14:paraId="3086AC07" w14:textId="3A73D66E" w:rsidR="00E90E49" w:rsidRPr="00CE0424" w:rsidRDefault="00E90E49" w:rsidP="00357380">
      <w:pPr>
        <w:pStyle w:val="3GPPHeader"/>
      </w:pPr>
    </w:p>
    <w:p w14:paraId="3982483C" w14:textId="5B4C8441" w:rsidR="00E90E49" w:rsidRPr="00C15FCA" w:rsidRDefault="00E90E49" w:rsidP="00311702">
      <w:pPr>
        <w:pStyle w:val="3GPPHeader"/>
        <w:rPr>
          <w:sz w:val="22"/>
        </w:rPr>
      </w:pPr>
      <w:r w:rsidRPr="00C15FCA">
        <w:rPr>
          <w:sz w:val="22"/>
        </w:rPr>
        <w:t>Agenda Item:</w:t>
      </w:r>
      <w:r w:rsidRPr="00C15FCA">
        <w:rPr>
          <w:sz w:val="22"/>
        </w:rPr>
        <w:tab/>
      </w:r>
      <w:r w:rsidR="00B239DC">
        <w:rPr>
          <w:sz w:val="22"/>
        </w:rPr>
        <w:t>5</w:t>
      </w:r>
      <w:r w:rsidR="00C15FCA" w:rsidRPr="00C15FCA">
        <w:rPr>
          <w:sz w:val="22"/>
        </w:rPr>
        <w:t>.</w:t>
      </w:r>
      <w:r w:rsidR="00B239DC">
        <w:rPr>
          <w:sz w:val="22"/>
        </w:rPr>
        <w:t>2</w:t>
      </w:r>
    </w:p>
    <w:p w14:paraId="5619E868" w14:textId="12B0CF3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A531168" w:rsidR="00E90E49" w:rsidRPr="00CE0424" w:rsidRDefault="003D3C45" w:rsidP="00C15FCA">
      <w:pPr>
        <w:pStyle w:val="3GPPHeader"/>
        <w:ind w:left="1710" w:hanging="1710"/>
        <w:rPr>
          <w:sz w:val="22"/>
        </w:rPr>
      </w:pPr>
      <w:r>
        <w:rPr>
          <w:sz w:val="22"/>
        </w:rPr>
        <w:t>Title:</w:t>
      </w:r>
      <w:r w:rsidR="00E90E49" w:rsidRPr="00CE0424">
        <w:rPr>
          <w:sz w:val="22"/>
        </w:rPr>
        <w:tab/>
      </w:r>
      <w:r w:rsidR="00BF4EDD" w:rsidRPr="007D4944">
        <w:rPr>
          <w:sz w:val="22"/>
        </w:rPr>
        <w:t xml:space="preserve">Discussion on </w:t>
      </w:r>
      <w:r w:rsidR="00BB499C" w:rsidRPr="00BB499C">
        <w:rPr>
          <w:sz w:val="22"/>
        </w:rPr>
        <w:t>RAN1 aspects for NR small data transmissions in INACTIVE state</w:t>
      </w:r>
    </w:p>
    <w:p w14:paraId="025260C1" w14:textId="10A983D6" w:rsidR="00E90E49" w:rsidRPr="00CE0424" w:rsidRDefault="00E90E49" w:rsidP="00D546FF">
      <w:pPr>
        <w:pStyle w:val="3GPPHeader"/>
        <w:rPr>
          <w:sz w:val="22"/>
        </w:rPr>
      </w:pPr>
      <w:r w:rsidRPr="00CE0424">
        <w:rPr>
          <w:sz w:val="22"/>
        </w:rPr>
        <w:t>Document for:</w:t>
      </w:r>
      <w:r w:rsidRPr="00CE0424">
        <w:rPr>
          <w:sz w:val="22"/>
        </w:rPr>
        <w:tab/>
      </w:r>
      <w:r w:rsidRPr="00C15FCA">
        <w:rPr>
          <w:sz w:val="22"/>
        </w:rPr>
        <w:t>Discussion, Decision</w:t>
      </w:r>
    </w:p>
    <w:p w14:paraId="2D5672ED" w14:textId="215BDA0A" w:rsidR="00E90E49" w:rsidRPr="00CE0424" w:rsidRDefault="00E90E49" w:rsidP="00E90E49"/>
    <w:p w14:paraId="6883CB62" w14:textId="51E1D9B4" w:rsidR="00E90E49" w:rsidRPr="00CE0424" w:rsidRDefault="00230D18" w:rsidP="00CE0424">
      <w:pPr>
        <w:pStyle w:val="Heading1"/>
      </w:pPr>
      <w:r>
        <w:t>1</w:t>
      </w:r>
      <w:r>
        <w:tab/>
      </w:r>
      <w:r w:rsidR="00E90E49" w:rsidRPr="00CE0424">
        <w:t>Introduction</w:t>
      </w:r>
    </w:p>
    <w:p w14:paraId="5176BA85" w14:textId="217B7D44" w:rsidR="00640B6E" w:rsidRDefault="001B1C40" w:rsidP="00400CD5">
      <w:pPr>
        <w:pStyle w:val="BodyText"/>
        <w:spacing w:after="0"/>
      </w:pPr>
      <w:r>
        <w:t xml:space="preserve">This contribution </w:t>
      </w:r>
      <w:r w:rsidR="00B37D77">
        <w:t>includes</w:t>
      </w:r>
      <w:r>
        <w:t xml:space="preserve"> </w:t>
      </w:r>
      <w:r w:rsidR="00323155">
        <w:t>discussions</w:t>
      </w:r>
      <w:r w:rsidR="002F512B">
        <w:t xml:space="preserve"> on small data transmissions from UEs in RRC inactive state, and the issues addressed in this paper </w:t>
      </w:r>
      <w:r w:rsidR="00693783">
        <w:t>were</w:t>
      </w:r>
      <w:r w:rsidR="002F512B">
        <w:t xml:space="preserve"> mainly</w:t>
      </w:r>
      <w:r>
        <w:t xml:space="preserve"> </w:t>
      </w:r>
      <w:r w:rsidR="004545B9">
        <w:t>triggered by</w:t>
      </w:r>
      <w:r>
        <w:t xml:space="preserve"> the LS</w:t>
      </w:r>
      <w:r w:rsidR="00993259">
        <w:t>s</w:t>
      </w:r>
      <w:r>
        <w:t xml:space="preserve"> from RAN</w:t>
      </w:r>
      <w:r w:rsidR="00BB24BA">
        <w:t>2</w:t>
      </w:r>
      <w:r>
        <w:t xml:space="preserve"> on </w:t>
      </w:r>
    </w:p>
    <w:p w14:paraId="4DB0B415" w14:textId="076823AE" w:rsidR="00640B6E" w:rsidRDefault="00D5528D" w:rsidP="00400CD5">
      <w:pPr>
        <w:pStyle w:val="BodyText"/>
        <w:numPr>
          <w:ilvl w:val="0"/>
          <w:numId w:val="32"/>
        </w:numPr>
        <w:spacing w:after="0"/>
      </w:pPr>
      <w:r>
        <w:t>SSB to CG PUSCH mapping</w:t>
      </w:r>
      <w:r w:rsidR="00FB7E56">
        <w:t>,</w:t>
      </w:r>
    </w:p>
    <w:p w14:paraId="231E64EA" w14:textId="292195CF" w:rsidR="00477768" w:rsidRPr="00CE0424" w:rsidRDefault="00D5528D" w:rsidP="00400CD5">
      <w:pPr>
        <w:pStyle w:val="BodyText"/>
        <w:numPr>
          <w:ilvl w:val="0"/>
          <w:numId w:val="32"/>
        </w:numPr>
        <w:spacing w:after="0"/>
      </w:pPr>
      <w:r>
        <w:t>TA validation for CG based SDT</w:t>
      </w:r>
      <w:r w:rsidR="001B1C40">
        <w:t>.</w:t>
      </w:r>
    </w:p>
    <w:p w14:paraId="455CE077" w14:textId="0924193A" w:rsidR="001B1C40" w:rsidRDefault="007D4944" w:rsidP="001B1C40">
      <w:pPr>
        <w:pStyle w:val="Heading1"/>
      </w:pPr>
      <w:r>
        <w:t>2</w:t>
      </w:r>
      <w:r w:rsidR="001B1C40">
        <w:tab/>
        <w:t>Discussion</w:t>
      </w:r>
      <w:r w:rsidR="00733559">
        <w:t>s</w:t>
      </w:r>
    </w:p>
    <w:p w14:paraId="1FF90E2F" w14:textId="2C620F6F" w:rsidR="001A1F0F" w:rsidRPr="00252D1C" w:rsidRDefault="001A1F0F" w:rsidP="00252D1C">
      <w:pPr>
        <w:pStyle w:val="Heading2"/>
      </w:pPr>
      <w:r w:rsidRPr="00252D1C">
        <w:rPr>
          <w:rFonts w:eastAsiaTheme="minorHAnsi" w:hint="eastAsia"/>
        </w:rPr>
        <w:t>2.1</w:t>
      </w:r>
      <w:r w:rsidRPr="00252D1C">
        <w:t xml:space="preserve"> </w:t>
      </w:r>
      <w:r w:rsidRPr="00252D1C">
        <w:rPr>
          <w:rFonts w:eastAsiaTheme="minorHAnsi" w:hint="eastAsia"/>
        </w:rPr>
        <w:t>SSB</w:t>
      </w:r>
      <w:r w:rsidRPr="00252D1C">
        <w:t xml:space="preserve"> to CG PUSCH mapping</w:t>
      </w:r>
    </w:p>
    <w:p w14:paraId="48F6EE90" w14:textId="0CF205D1" w:rsidR="001A1F0F" w:rsidRDefault="00C30FDE" w:rsidP="001B1C40">
      <w:pPr>
        <w:rPr>
          <w:lang w:eastAsia="zh-CN"/>
        </w:rPr>
      </w:pPr>
      <w:r>
        <w:rPr>
          <w:lang w:eastAsia="zh-CN"/>
        </w:rPr>
        <w:t xml:space="preserve">In RAN1 #104-e meeting, we </w:t>
      </w:r>
      <w:r w:rsidR="00522658">
        <w:rPr>
          <w:lang w:eastAsia="zh-CN"/>
        </w:rPr>
        <w:t>have met</w:t>
      </w:r>
      <w:r>
        <w:rPr>
          <w:lang w:eastAsia="zh-CN"/>
        </w:rPr>
        <w:t xml:space="preserve"> following conclusion which has been sent to RAN2 in a reply LS</w:t>
      </w:r>
      <w:r w:rsidR="00837C45">
        <w:rPr>
          <w:lang w:eastAsia="zh-CN"/>
        </w:rPr>
        <w:t xml:space="preserve"> </w:t>
      </w:r>
      <w:r w:rsidR="00F83FCF">
        <w:rPr>
          <w:lang w:eastAsia="zh-CN"/>
        </w:rPr>
        <w:fldChar w:fldCharType="begin"/>
      </w:r>
      <w:r w:rsidR="00F83FCF">
        <w:rPr>
          <w:lang w:eastAsia="zh-CN"/>
        </w:rPr>
        <w:instrText xml:space="preserve"> REF _Ref68080855 \n \h </w:instrText>
      </w:r>
      <w:r w:rsidR="00F83FCF">
        <w:rPr>
          <w:lang w:eastAsia="zh-CN"/>
        </w:rPr>
      </w:r>
      <w:r w:rsidR="00F83FCF">
        <w:rPr>
          <w:lang w:eastAsia="zh-CN"/>
        </w:rPr>
        <w:fldChar w:fldCharType="separate"/>
      </w:r>
      <w:r w:rsidR="00CA17BB">
        <w:rPr>
          <w:lang w:eastAsia="zh-CN"/>
        </w:rPr>
        <w:t>[2]</w:t>
      </w:r>
      <w:r w:rsidR="00F83FCF">
        <w:rPr>
          <w:lang w:eastAsia="zh-CN"/>
        </w:rPr>
        <w:fldChar w:fldCharType="end"/>
      </w:r>
      <w:r w:rsidR="00837C45">
        <w:rPr>
          <w:lang w:eastAsia="zh-CN"/>
        </w:rPr>
        <w:t xml:space="preserve"> to LS</w:t>
      </w:r>
      <w:r w:rsidR="00F83FCF">
        <w:rPr>
          <w:lang w:eastAsia="zh-CN"/>
        </w:rPr>
        <w:t xml:space="preserve"> </w:t>
      </w:r>
      <w:r w:rsidR="00F83FCF">
        <w:rPr>
          <w:lang w:eastAsia="zh-CN"/>
        </w:rPr>
        <w:fldChar w:fldCharType="begin"/>
      </w:r>
      <w:r w:rsidR="00F83FCF">
        <w:rPr>
          <w:lang w:eastAsia="zh-CN"/>
        </w:rPr>
        <w:instrText xml:space="preserve"> REF _Ref53759078 \n \h </w:instrText>
      </w:r>
      <w:r w:rsidR="00F83FCF">
        <w:rPr>
          <w:lang w:eastAsia="zh-CN"/>
        </w:rPr>
      </w:r>
      <w:r w:rsidR="00F83FCF">
        <w:rPr>
          <w:lang w:eastAsia="zh-CN"/>
        </w:rPr>
        <w:fldChar w:fldCharType="separate"/>
      </w:r>
      <w:r w:rsidR="00CA17BB">
        <w:rPr>
          <w:lang w:eastAsia="zh-CN"/>
        </w:rPr>
        <w:t>[1]</w:t>
      </w:r>
      <w:r w:rsidR="00F83FCF">
        <w:rPr>
          <w:lang w:eastAsia="zh-CN"/>
        </w:rPr>
        <w:fldChar w:fldCharType="end"/>
      </w:r>
      <w:r w:rsidR="00837C45">
        <w:rPr>
          <w:lang w:eastAsia="zh-CN"/>
        </w:rPr>
        <w:t>.</w:t>
      </w:r>
    </w:p>
    <w:tbl>
      <w:tblPr>
        <w:tblStyle w:val="TableGrid"/>
        <w:tblW w:w="0" w:type="auto"/>
        <w:tblLook w:val="04A0" w:firstRow="1" w:lastRow="0" w:firstColumn="1" w:lastColumn="0" w:noHBand="0" w:noVBand="1"/>
      </w:tblPr>
      <w:tblGrid>
        <w:gridCol w:w="9629"/>
      </w:tblGrid>
      <w:tr w:rsidR="00C30FDE" w14:paraId="3705429B" w14:textId="77777777" w:rsidTr="00C30FDE">
        <w:tc>
          <w:tcPr>
            <w:tcW w:w="9629" w:type="dxa"/>
          </w:tcPr>
          <w:p w14:paraId="5FD90CF2" w14:textId="77777777" w:rsidR="00C30FDE" w:rsidRPr="00304827" w:rsidRDefault="00C30FDE" w:rsidP="00C30FDE">
            <w:pPr>
              <w:pStyle w:val="ListParagraph"/>
              <w:numPr>
                <w:ilvl w:val="0"/>
                <w:numId w:val="33"/>
              </w:numPr>
              <w:autoSpaceDE w:val="0"/>
              <w:autoSpaceDN w:val="0"/>
              <w:adjustRightInd w:val="0"/>
              <w:snapToGrid w:val="0"/>
              <w:spacing w:after="60" w:line="240" w:lineRule="auto"/>
              <w:jc w:val="both"/>
              <w:rPr>
                <w:rFonts w:ascii="Arial" w:hAnsi="Arial" w:cs="Arial"/>
                <w:sz w:val="20"/>
                <w:szCs w:val="20"/>
              </w:rPr>
            </w:pPr>
            <w:r w:rsidRPr="00304827">
              <w:rPr>
                <w:rFonts w:ascii="Arial" w:hAnsi="Arial" w:cs="Arial"/>
                <w:sz w:val="20"/>
                <w:szCs w:val="20"/>
              </w:rPr>
              <w:t>One or multiple SSBs can be associated with each CG configuration for CG-SDT.</w:t>
            </w:r>
          </w:p>
          <w:p w14:paraId="24D29B8C" w14:textId="77777777" w:rsidR="00C30FDE" w:rsidRPr="00304827" w:rsidRDefault="00C30FDE" w:rsidP="00C30FDE">
            <w:pPr>
              <w:pStyle w:val="ListParagraph"/>
              <w:numPr>
                <w:ilvl w:val="0"/>
                <w:numId w:val="34"/>
              </w:numPr>
              <w:autoSpaceDE w:val="0"/>
              <w:autoSpaceDN w:val="0"/>
              <w:adjustRightInd w:val="0"/>
              <w:snapToGrid w:val="0"/>
              <w:spacing w:after="60" w:line="240" w:lineRule="auto"/>
              <w:jc w:val="both"/>
              <w:rPr>
                <w:rFonts w:ascii="Arial" w:hAnsi="Arial" w:cs="Arial"/>
                <w:sz w:val="20"/>
                <w:szCs w:val="20"/>
                <w:lang w:eastAsia="zh-CN"/>
              </w:rPr>
            </w:pPr>
            <w:r w:rsidRPr="00304827">
              <w:rPr>
                <w:rFonts w:ascii="Arial" w:hAnsi="Arial" w:cs="Arial"/>
                <w:sz w:val="20"/>
                <w:szCs w:val="20"/>
                <w:lang w:eastAsia="zh-CN"/>
              </w:rPr>
              <w:t>From RAN1 perspective, the following options can be considered for the association between the SSBs and the CG resources (including transmission occasions and DMRS) per CG configuration for CG-SDT.</w:t>
            </w:r>
          </w:p>
          <w:p w14:paraId="3EA61876" w14:textId="77777777" w:rsidR="00C30FDE" w:rsidRPr="00304827" w:rsidRDefault="00C30FDE" w:rsidP="00C30FDE">
            <w:pPr>
              <w:pStyle w:val="ListParagraph"/>
              <w:numPr>
                <w:ilvl w:val="1"/>
                <w:numId w:val="34"/>
              </w:numPr>
              <w:autoSpaceDE w:val="0"/>
              <w:autoSpaceDN w:val="0"/>
              <w:adjustRightInd w:val="0"/>
              <w:snapToGrid w:val="0"/>
              <w:spacing w:after="60" w:line="240" w:lineRule="auto"/>
              <w:jc w:val="both"/>
              <w:rPr>
                <w:rFonts w:ascii="Arial" w:hAnsi="Arial" w:cs="Arial"/>
                <w:sz w:val="20"/>
                <w:szCs w:val="20"/>
                <w:lang w:eastAsia="zh-CN"/>
              </w:rPr>
            </w:pPr>
            <w:r w:rsidRPr="00304827">
              <w:rPr>
                <w:rFonts w:ascii="Arial" w:hAnsi="Arial" w:cs="Arial"/>
                <w:sz w:val="20"/>
                <w:szCs w:val="20"/>
                <w:lang w:eastAsia="zh-CN"/>
              </w:rPr>
              <w:t xml:space="preserve">Opt. 1: Define the SSB-to-CG-PUSCH mapping rule </w:t>
            </w:r>
          </w:p>
          <w:p w14:paraId="05052F1A" w14:textId="77777777" w:rsidR="00C30FDE" w:rsidRPr="00304827" w:rsidRDefault="00C30FDE" w:rsidP="00C30FDE">
            <w:pPr>
              <w:pStyle w:val="ListParagraph"/>
              <w:numPr>
                <w:ilvl w:val="2"/>
                <w:numId w:val="34"/>
              </w:numPr>
              <w:autoSpaceDE w:val="0"/>
              <w:autoSpaceDN w:val="0"/>
              <w:adjustRightInd w:val="0"/>
              <w:snapToGrid w:val="0"/>
              <w:spacing w:after="60" w:line="240" w:lineRule="auto"/>
              <w:jc w:val="both"/>
              <w:rPr>
                <w:rFonts w:ascii="Arial" w:hAnsi="Arial" w:cs="Arial"/>
                <w:sz w:val="20"/>
                <w:szCs w:val="20"/>
                <w:lang w:eastAsia="zh-CN"/>
              </w:rPr>
            </w:pPr>
            <w:r w:rsidRPr="00304827">
              <w:rPr>
                <w:rFonts w:ascii="Arial" w:hAnsi="Arial" w:cs="Arial"/>
                <w:sz w:val="20"/>
                <w:szCs w:val="20"/>
                <w:lang w:eastAsia="zh-CN"/>
              </w:rPr>
              <w:t>Reuse the SSB-to-RO mapping as the baseline</w:t>
            </w:r>
          </w:p>
          <w:p w14:paraId="32ECAFD2" w14:textId="77777777" w:rsidR="00C30FDE" w:rsidRPr="00304827" w:rsidRDefault="00C30FDE" w:rsidP="00C30FDE">
            <w:pPr>
              <w:pStyle w:val="ListParagraph"/>
              <w:numPr>
                <w:ilvl w:val="2"/>
                <w:numId w:val="34"/>
              </w:numPr>
              <w:autoSpaceDE w:val="0"/>
              <w:autoSpaceDN w:val="0"/>
              <w:adjustRightInd w:val="0"/>
              <w:snapToGrid w:val="0"/>
              <w:spacing w:after="60" w:line="240" w:lineRule="auto"/>
              <w:jc w:val="both"/>
              <w:rPr>
                <w:rFonts w:ascii="Arial" w:hAnsi="Arial" w:cs="Arial"/>
                <w:sz w:val="20"/>
                <w:szCs w:val="20"/>
                <w:lang w:eastAsia="zh-CN"/>
              </w:rPr>
            </w:pPr>
            <w:r w:rsidRPr="00304827">
              <w:rPr>
                <w:rFonts w:ascii="Arial" w:hAnsi="Arial" w:cs="Arial"/>
                <w:sz w:val="20"/>
                <w:szCs w:val="20"/>
                <w:lang w:eastAsia="zh-CN"/>
              </w:rPr>
              <w:t>FFS the potential RAN1 impact, e.g. mapping ratio and association period</w:t>
            </w:r>
          </w:p>
          <w:p w14:paraId="3D21C7AF" w14:textId="77777777" w:rsidR="00C30FDE" w:rsidRPr="00304827" w:rsidRDefault="00C30FDE" w:rsidP="00C30FDE">
            <w:pPr>
              <w:pStyle w:val="ListParagraph"/>
              <w:numPr>
                <w:ilvl w:val="1"/>
                <w:numId w:val="34"/>
              </w:numPr>
              <w:autoSpaceDE w:val="0"/>
              <w:autoSpaceDN w:val="0"/>
              <w:adjustRightInd w:val="0"/>
              <w:snapToGrid w:val="0"/>
              <w:spacing w:after="60" w:line="240" w:lineRule="auto"/>
              <w:jc w:val="both"/>
              <w:rPr>
                <w:rFonts w:ascii="Arial" w:hAnsi="Arial" w:cs="Arial"/>
                <w:sz w:val="20"/>
                <w:szCs w:val="20"/>
                <w:lang w:eastAsia="zh-CN"/>
              </w:rPr>
            </w:pPr>
            <w:r w:rsidRPr="00304827">
              <w:rPr>
                <w:rFonts w:ascii="Arial" w:hAnsi="Arial" w:cs="Arial"/>
                <w:sz w:val="20"/>
                <w:szCs w:val="20"/>
                <w:lang w:eastAsia="zh-CN"/>
              </w:rPr>
              <w:t xml:space="preserve">Opt. 2: CG resources per CG configuration are associated with a set of SSB(s) by explicit </w:t>
            </w:r>
            <w:proofErr w:type="spellStart"/>
            <w:r w:rsidRPr="00304827">
              <w:rPr>
                <w:rFonts w:ascii="Arial" w:hAnsi="Arial" w:cs="Arial"/>
                <w:sz w:val="20"/>
                <w:szCs w:val="20"/>
                <w:lang w:eastAsia="zh-CN"/>
              </w:rPr>
              <w:t>signalling</w:t>
            </w:r>
            <w:proofErr w:type="spellEnd"/>
            <w:r w:rsidRPr="00304827">
              <w:rPr>
                <w:rFonts w:ascii="Arial" w:hAnsi="Arial" w:cs="Arial"/>
                <w:sz w:val="20"/>
                <w:szCs w:val="20"/>
                <w:lang w:eastAsia="zh-CN"/>
              </w:rPr>
              <w:t>.</w:t>
            </w:r>
          </w:p>
          <w:p w14:paraId="53F6477C" w14:textId="77777777" w:rsidR="00C30FDE" w:rsidRPr="00304827" w:rsidRDefault="00C30FDE" w:rsidP="00C30FDE">
            <w:pPr>
              <w:pStyle w:val="ListParagraph"/>
              <w:numPr>
                <w:ilvl w:val="2"/>
                <w:numId w:val="34"/>
              </w:numPr>
              <w:autoSpaceDE w:val="0"/>
              <w:autoSpaceDN w:val="0"/>
              <w:adjustRightInd w:val="0"/>
              <w:snapToGrid w:val="0"/>
              <w:spacing w:after="60" w:line="240" w:lineRule="auto"/>
              <w:jc w:val="both"/>
              <w:rPr>
                <w:rFonts w:ascii="Arial" w:hAnsi="Arial" w:cs="Arial"/>
                <w:sz w:val="20"/>
                <w:szCs w:val="20"/>
                <w:lang w:eastAsia="zh-CN"/>
              </w:rPr>
            </w:pPr>
            <w:r w:rsidRPr="00304827">
              <w:rPr>
                <w:rFonts w:ascii="Arial" w:hAnsi="Arial" w:cs="Arial"/>
                <w:sz w:val="20"/>
                <w:szCs w:val="20"/>
                <w:lang w:eastAsia="zh-CN"/>
              </w:rPr>
              <w:t>FFS the potential RAN1 impact</w:t>
            </w:r>
          </w:p>
          <w:p w14:paraId="2A2141C1" w14:textId="77777777" w:rsidR="00C30FDE" w:rsidRPr="00304827" w:rsidRDefault="00C30FDE" w:rsidP="00C30FDE">
            <w:pPr>
              <w:pStyle w:val="ListParagraph"/>
              <w:numPr>
                <w:ilvl w:val="1"/>
                <w:numId w:val="34"/>
              </w:numPr>
              <w:autoSpaceDE w:val="0"/>
              <w:autoSpaceDN w:val="0"/>
              <w:adjustRightInd w:val="0"/>
              <w:snapToGrid w:val="0"/>
              <w:spacing w:after="60" w:line="240" w:lineRule="auto"/>
              <w:jc w:val="both"/>
              <w:rPr>
                <w:rFonts w:ascii="Arial" w:hAnsi="Arial" w:cs="Arial"/>
                <w:sz w:val="20"/>
                <w:szCs w:val="20"/>
                <w:lang w:eastAsia="zh-CN"/>
              </w:rPr>
            </w:pPr>
            <w:r w:rsidRPr="00304827">
              <w:rPr>
                <w:rFonts w:ascii="Arial" w:hAnsi="Arial" w:cs="Arial"/>
                <w:sz w:val="20"/>
                <w:szCs w:val="20"/>
                <w:lang w:eastAsia="zh-CN"/>
              </w:rPr>
              <w:t>Other solutions are not precluded</w:t>
            </w:r>
          </w:p>
          <w:p w14:paraId="58E45D8E" w14:textId="77777777" w:rsidR="00C30FDE" w:rsidRPr="00304827" w:rsidRDefault="00C30FDE" w:rsidP="00C30FDE">
            <w:pPr>
              <w:pStyle w:val="ListParagraph"/>
              <w:numPr>
                <w:ilvl w:val="0"/>
                <w:numId w:val="35"/>
              </w:numPr>
              <w:autoSpaceDE w:val="0"/>
              <w:autoSpaceDN w:val="0"/>
              <w:adjustRightInd w:val="0"/>
              <w:snapToGrid w:val="0"/>
              <w:spacing w:after="60" w:line="240" w:lineRule="auto"/>
              <w:jc w:val="both"/>
              <w:rPr>
                <w:rFonts w:ascii="Arial" w:hAnsi="Arial" w:cs="Arial"/>
                <w:color w:val="000000"/>
                <w:sz w:val="20"/>
                <w:szCs w:val="20"/>
              </w:rPr>
            </w:pPr>
            <w:r w:rsidRPr="00304827">
              <w:rPr>
                <w:rFonts w:ascii="Arial" w:hAnsi="Arial" w:cs="Arial"/>
                <w:sz w:val="20"/>
                <w:szCs w:val="20"/>
                <w:lang w:eastAsia="zh-CN"/>
              </w:rPr>
              <w:t>FFS whether repetition is supported for CG-SDT or not, and if supported how to handle the mapping between the SSBs and repetitions</w:t>
            </w:r>
          </w:p>
          <w:p w14:paraId="1DADFE66" w14:textId="4A9D7B41" w:rsidR="00C30FDE" w:rsidRPr="00C30FDE" w:rsidRDefault="00C30FDE" w:rsidP="001B1C40">
            <w:pPr>
              <w:pStyle w:val="ListParagraph"/>
              <w:numPr>
                <w:ilvl w:val="0"/>
                <w:numId w:val="35"/>
              </w:numPr>
              <w:autoSpaceDE w:val="0"/>
              <w:autoSpaceDN w:val="0"/>
              <w:adjustRightInd w:val="0"/>
              <w:snapToGrid w:val="0"/>
              <w:spacing w:after="60" w:line="240" w:lineRule="auto"/>
              <w:jc w:val="both"/>
              <w:rPr>
                <w:rFonts w:ascii="Arial" w:hAnsi="Arial" w:cs="Arial"/>
                <w:color w:val="000000"/>
              </w:rPr>
            </w:pPr>
            <w:r w:rsidRPr="00304827">
              <w:rPr>
                <w:rFonts w:ascii="Arial" w:hAnsi="Arial" w:cs="Arial"/>
                <w:sz w:val="20"/>
                <w:szCs w:val="20"/>
                <w:lang w:eastAsia="zh-CN"/>
              </w:rPr>
              <w:t>FFS TA validation and PUSCH validation for CG-SDT.</w:t>
            </w:r>
          </w:p>
        </w:tc>
      </w:tr>
    </w:tbl>
    <w:p w14:paraId="46F057CC" w14:textId="77777777" w:rsidR="00C30FDE" w:rsidRDefault="00C30FDE" w:rsidP="001B1C40">
      <w:pPr>
        <w:rPr>
          <w:lang w:eastAsia="zh-CN"/>
        </w:rPr>
      </w:pPr>
    </w:p>
    <w:p w14:paraId="6700C4C5" w14:textId="380F2D19" w:rsidR="00470A3B" w:rsidRDefault="00C316CD" w:rsidP="00470A3B">
      <w:pPr>
        <w:jc w:val="both"/>
        <w:rPr>
          <w:lang w:eastAsia="zh-CN"/>
        </w:rPr>
      </w:pPr>
      <w:r>
        <w:rPr>
          <w:lang w:eastAsia="zh-CN"/>
        </w:rPr>
        <w:t>One remaining issue is how to do the SSB to CG PUSCH mapping</w:t>
      </w:r>
      <w:r w:rsidR="004B04AE">
        <w:rPr>
          <w:lang w:eastAsia="zh-CN"/>
        </w:rPr>
        <w:t xml:space="preserve"> in CG based SDT</w:t>
      </w:r>
      <w:r>
        <w:rPr>
          <w:lang w:eastAsia="zh-CN"/>
        </w:rPr>
        <w:t>. In our view</w:t>
      </w:r>
      <w:r w:rsidR="00CE1FBB">
        <w:rPr>
          <w:lang w:eastAsia="zh-CN"/>
        </w:rPr>
        <w:t>,</w:t>
      </w:r>
      <w:r w:rsidR="00AF2D39">
        <w:rPr>
          <w:lang w:eastAsia="zh-CN"/>
        </w:rPr>
        <w:t xml:space="preserve"> the 2 options </w:t>
      </w:r>
      <w:r w:rsidR="00ED1FB9">
        <w:rPr>
          <w:lang w:eastAsia="zh-CN"/>
        </w:rPr>
        <w:t>in the conclusion</w:t>
      </w:r>
      <w:r w:rsidR="00AF2D39">
        <w:rPr>
          <w:lang w:eastAsia="zh-CN"/>
        </w:rPr>
        <w:t xml:space="preserve"> are not mutual exclusive. T</w:t>
      </w:r>
      <w:r>
        <w:rPr>
          <w:lang w:eastAsia="zh-CN"/>
        </w:rPr>
        <w:t xml:space="preserve">o </w:t>
      </w:r>
      <w:proofErr w:type="spellStart"/>
      <w:r>
        <w:rPr>
          <w:lang w:eastAsia="zh-CN"/>
        </w:rPr>
        <w:t>minize</w:t>
      </w:r>
      <w:proofErr w:type="spellEnd"/>
      <w:r>
        <w:rPr>
          <w:lang w:eastAsia="zh-CN"/>
        </w:rPr>
        <w:t xml:space="preserve"> the working e</w:t>
      </w:r>
      <w:r w:rsidR="00FB6D07">
        <w:rPr>
          <w:lang w:eastAsia="zh-CN"/>
        </w:rPr>
        <w:t>ff</w:t>
      </w:r>
      <w:r>
        <w:rPr>
          <w:lang w:eastAsia="zh-CN"/>
        </w:rPr>
        <w:t>ort</w:t>
      </w:r>
      <w:r w:rsidR="00FF352E">
        <w:rPr>
          <w:lang w:eastAsia="zh-CN"/>
        </w:rPr>
        <w:t xml:space="preserve"> in RAN1</w:t>
      </w:r>
      <w:r>
        <w:rPr>
          <w:lang w:eastAsia="zh-CN"/>
        </w:rPr>
        <w:t>, the mapping rules used for SSB to RO mapping can be reused</w:t>
      </w:r>
      <w:r w:rsidR="00FF352E">
        <w:rPr>
          <w:lang w:eastAsia="zh-CN"/>
        </w:rPr>
        <w:t xml:space="preserve"> by SSB to CG PUSCH mapping</w:t>
      </w:r>
      <w:r w:rsidR="00AF2D39">
        <w:rPr>
          <w:lang w:eastAsia="zh-CN"/>
        </w:rPr>
        <w:t>, as indicated in option 1</w:t>
      </w:r>
      <w:r>
        <w:rPr>
          <w:lang w:eastAsia="zh-CN"/>
        </w:rPr>
        <w:t xml:space="preserve">. </w:t>
      </w:r>
    </w:p>
    <w:p w14:paraId="0B6D61B4" w14:textId="4C58C956" w:rsidR="001A1F0F" w:rsidRPr="004E5768" w:rsidRDefault="0099565A" w:rsidP="004E5768">
      <w:pPr>
        <w:jc w:val="both"/>
        <w:rPr>
          <w:lang w:eastAsia="zh-CN"/>
        </w:rPr>
      </w:pPr>
      <w:r>
        <w:rPr>
          <w:lang w:eastAsia="zh-CN"/>
        </w:rPr>
        <w:t>W</w:t>
      </w:r>
      <w:r w:rsidR="00AF2D39">
        <w:rPr>
          <w:lang w:eastAsia="zh-CN"/>
        </w:rPr>
        <w:t xml:space="preserve">hen multiple CG PUSCH configurations are </w:t>
      </w:r>
      <w:r w:rsidR="00AA65D4">
        <w:rPr>
          <w:lang w:eastAsia="zh-CN"/>
        </w:rPr>
        <w:t>configured</w:t>
      </w:r>
      <w:r w:rsidR="00AF2D39">
        <w:rPr>
          <w:lang w:eastAsia="zh-CN"/>
        </w:rPr>
        <w:t xml:space="preserve">, to reduce the resource overhead per CG PUSCH configuration, it might be beneficial to mapping different subset of SSBs to the different CG PUSCH </w:t>
      </w:r>
      <w:r w:rsidR="00AF2D39">
        <w:rPr>
          <w:lang w:eastAsia="zh-CN"/>
        </w:rPr>
        <w:lastRenderedPageBreak/>
        <w:t>configurations.</w:t>
      </w:r>
      <w:r w:rsidR="00AA65D4" w:rsidRPr="00AA65D4">
        <w:rPr>
          <w:lang w:eastAsia="zh-CN"/>
        </w:rPr>
        <w:t xml:space="preserve"> </w:t>
      </w:r>
      <w:r w:rsidR="00AA65D4">
        <w:rPr>
          <w:lang w:eastAsia="zh-CN"/>
        </w:rPr>
        <w:t>So, whether different set of SSBs should be configured per CG PUSCH configuration can be further discussed when multiple CG PUSCH configurations are configured.</w:t>
      </w:r>
    </w:p>
    <w:p w14:paraId="68BAB6F5" w14:textId="2D78A914" w:rsidR="00D9201D" w:rsidRDefault="00D9201D" w:rsidP="00DC02F3">
      <w:pPr>
        <w:pStyle w:val="Proposal"/>
      </w:pPr>
      <w:bookmarkStart w:id="0" w:name="_Ref68171222"/>
      <w:bookmarkStart w:id="1" w:name="_Ref68171229"/>
      <w:bookmarkStart w:id="2" w:name="_Ref68171236"/>
      <w:bookmarkStart w:id="3" w:name="_Ref68171249"/>
      <w:bookmarkStart w:id="4" w:name="_Toc68624322"/>
      <w:r>
        <w:t xml:space="preserve">Option 1 is used </w:t>
      </w:r>
      <w:r w:rsidR="00F92AA3">
        <w:t>for the mapping between</w:t>
      </w:r>
      <w:r>
        <w:t xml:space="preserve"> SSB to CG PUSCH</w:t>
      </w:r>
      <w:r w:rsidR="00B92155">
        <w:t>.</w:t>
      </w:r>
      <w:bookmarkEnd w:id="0"/>
      <w:bookmarkEnd w:id="1"/>
      <w:bookmarkEnd w:id="2"/>
      <w:bookmarkEnd w:id="3"/>
      <w:bookmarkEnd w:id="4"/>
    </w:p>
    <w:p w14:paraId="4DE1083F" w14:textId="11E7D10B" w:rsidR="00DC02F3" w:rsidRPr="007D4944" w:rsidRDefault="00D9201D" w:rsidP="00DC02F3">
      <w:pPr>
        <w:pStyle w:val="Proposal"/>
      </w:pPr>
      <w:bookmarkStart w:id="5" w:name="_Toc68624323"/>
      <w:r>
        <w:t xml:space="preserve">Further discuss whether </w:t>
      </w:r>
      <w:r w:rsidR="006E73A7">
        <w:t xml:space="preserve">different </w:t>
      </w:r>
      <w:r w:rsidR="003F3328">
        <w:t xml:space="preserve">subset of </w:t>
      </w:r>
      <w:r w:rsidR="006E73A7">
        <w:t xml:space="preserve">SSBs should be </w:t>
      </w:r>
      <w:r w:rsidR="00C3537C">
        <w:t>mapped to</w:t>
      </w:r>
      <w:r w:rsidR="006E73A7">
        <w:t xml:space="preserve"> different CG PUSCH configurations.</w:t>
      </w:r>
      <w:bookmarkEnd w:id="5"/>
    </w:p>
    <w:p w14:paraId="775D890E" w14:textId="35BB9502" w:rsidR="0050278F" w:rsidRPr="00C135C5" w:rsidRDefault="0050278F" w:rsidP="0050278F">
      <w:pPr>
        <w:pStyle w:val="Heading2"/>
        <w:rPr>
          <w:rFonts w:eastAsiaTheme="minorHAnsi"/>
        </w:rPr>
      </w:pPr>
      <w:r w:rsidRPr="00252D1C">
        <w:rPr>
          <w:rFonts w:eastAsiaTheme="minorHAnsi" w:hint="eastAsia"/>
        </w:rPr>
        <w:t>2.</w:t>
      </w:r>
      <w:r w:rsidRPr="00C135C5">
        <w:rPr>
          <w:rFonts w:eastAsiaTheme="minorHAnsi" w:hint="eastAsia"/>
        </w:rPr>
        <w:t>2</w:t>
      </w:r>
      <w:r w:rsidRPr="00C135C5">
        <w:rPr>
          <w:rFonts w:eastAsiaTheme="minorHAnsi"/>
        </w:rPr>
        <w:t xml:space="preserve"> </w:t>
      </w:r>
      <w:r w:rsidR="00C135C5" w:rsidRPr="00C135C5">
        <w:rPr>
          <w:rFonts w:eastAsiaTheme="minorHAnsi" w:hint="eastAsia"/>
        </w:rPr>
        <w:t>TA</w:t>
      </w:r>
      <w:r w:rsidR="00C135C5">
        <w:rPr>
          <w:rFonts w:eastAsiaTheme="minorHAnsi"/>
        </w:rPr>
        <w:t xml:space="preserve"> </w:t>
      </w:r>
      <w:r w:rsidR="00C135C5" w:rsidRPr="00C135C5">
        <w:rPr>
          <w:rFonts w:eastAsiaTheme="minorHAnsi" w:hint="eastAsia"/>
        </w:rPr>
        <w:t>vali</w:t>
      </w:r>
      <w:r w:rsidR="00C135C5">
        <w:rPr>
          <w:rFonts w:eastAsiaTheme="minorHAnsi"/>
        </w:rPr>
        <w:t>dation during CG based SDT</w:t>
      </w:r>
    </w:p>
    <w:p w14:paraId="5642D1D5" w14:textId="73646341" w:rsidR="007F06F4" w:rsidRPr="007F06F4" w:rsidRDefault="007F06F4" w:rsidP="001D661B">
      <w:pPr>
        <w:pStyle w:val="BodyText"/>
        <w:spacing w:after="0"/>
        <w:rPr>
          <w:lang w:val="en-GB"/>
        </w:rPr>
      </w:pPr>
      <w:r w:rsidRPr="007F06F4">
        <w:rPr>
          <w:lang w:val="en-GB"/>
        </w:rPr>
        <w:t xml:space="preserve">In LTE Rel-16, the feature Pre-configured Uplink Resources (PUR) was introduced for LTE-M and NB-IoT. In PUR, </w:t>
      </w:r>
      <w:proofErr w:type="gramStart"/>
      <w:r w:rsidRPr="007F06F4">
        <w:rPr>
          <w:lang w:val="en-GB"/>
        </w:rPr>
        <w:t>similar to</w:t>
      </w:r>
      <w:proofErr w:type="gramEnd"/>
      <w:r w:rsidRPr="007F06F4">
        <w:rPr>
          <w:lang w:val="en-GB"/>
        </w:rPr>
        <w:t xml:space="preserve"> Rel-17 CG-SDT, PUSCH resources are preconfigured periodically in RRC_IDLE for a UE to transmit periodic reports etc. For PUR, three Timing alignment validation </w:t>
      </w:r>
      <w:proofErr w:type="spellStart"/>
      <w:r w:rsidRPr="007F06F4">
        <w:rPr>
          <w:lang w:val="en-GB"/>
        </w:rPr>
        <w:t>criteria</w:t>
      </w:r>
      <w:r w:rsidR="007A1E95">
        <w:rPr>
          <w:lang w:val="en-GB"/>
        </w:rPr>
        <w:t>s</w:t>
      </w:r>
      <w:proofErr w:type="spellEnd"/>
      <w:r w:rsidRPr="007F06F4">
        <w:rPr>
          <w:lang w:val="en-GB"/>
        </w:rPr>
        <w:t xml:space="preserve"> w</w:t>
      </w:r>
      <w:r w:rsidR="007A1E95">
        <w:rPr>
          <w:lang w:val="en-GB"/>
        </w:rPr>
        <w:t>ere</w:t>
      </w:r>
      <w:r w:rsidRPr="007F06F4">
        <w:rPr>
          <w:lang w:val="en-GB"/>
        </w:rPr>
        <w:t xml:space="preserve"> introduced, which (if configured) the UE must </w:t>
      </w:r>
      <w:proofErr w:type="spellStart"/>
      <w:r w:rsidRPr="007F06F4">
        <w:rPr>
          <w:lang w:val="en-GB"/>
        </w:rPr>
        <w:t>fulfill</w:t>
      </w:r>
      <w:proofErr w:type="spellEnd"/>
      <w:r w:rsidRPr="007F06F4">
        <w:rPr>
          <w:lang w:val="en-GB"/>
        </w:rPr>
        <w:t xml:space="preserve"> to be allowed to transmit in the configured PUR occasions:</w:t>
      </w:r>
    </w:p>
    <w:p w14:paraId="5C78C326" w14:textId="47D23100" w:rsidR="007F06F4" w:rsidRPr="007F06F4" w:rsidRDefault="007F06F4" w:rsidP="00C03102">
      <w:pPr>
        <w:pStyle w:val="BodyText"/>
        <w:numPr>
          <w:ilvl w:val="0"/>
          <w:numId w:val="37"/>
        </w:numPr>
        <w:spacing w:after="0"/>
        <w:ind w:left="936" w:hanging="576"/>
        <w:rPr>
          <w:lang w:val="en-GB"/>
        </w:rPr>
      </w:pPr>
      <w:r w:rsidRPr="007F06F4">
        <w:rPr>
          <w:lang w:val="en-GB"/>
        </w:rPr>
        <w:t>The UE has not changed serving cell.</w:t>
      </w:r>
    </w:p>
    <w:p w14:paraId="1FE382CA" w14:textId="0664AA7D" w:rsidR="007F06F4" w:rsidRPr="007F06F4" w:rsidRDefault="007F06F4" w:rsidP="00C03102">
      <w:pPr>
        <w:pStyle w:val="BodyText"/>
        <w:numPr>
          <w:ilvl w:val="0"/>
          <w:numId w:val="37"/>
        </w:numPr>
        <w:spacing w:after="0"/>
        <w:ind w:left="936" w:hanging="576"/>
        <w:rPr>
          <w:lang w:val="en-GB"/>
        </w:rPr>
      </w:pPr>
      <w:proofErr w:type="spellStart"/>
      <w:r w:rsidRPr="00F02755">
        <w:rPr>
          <w:i/>
          <w:iCs/>
          <w:lang w:val="en-GB"/>
        </w:rPr>
        <w:t>pur-TimeAlignmentTimer</w:t>
      </w:r>
      <w:proofErr w:type="spellEnd"/>
      <w:r w:rsidRPr="007F06F4">
        <w:rPr>
          <w:lang w:val="en-GB"/>
        </w:rPr>
        <w:t xml:space="preserve"> is running as confirmed by lower layers (optionally configurable).</w:t>
      </w:r>
    </w:p>
    <w:p w14:paraId="761D4E21" w14:textId="6AD3B009" w:rsidR="007F06F4" w:rsidRPr="007F06F4" w:rsidRDefault="007F06F4" w:rsidP="00C03102">
      <w:pPr>
        <w:pStyle w:val="BodyText"/>
        <w:numPr>
          <w:ilvl w:val="0"/>
          <w:numId w:val="37"/>
        </w:numPr>
        <w:spacing w:after="0"/>
        <w:ind w:left="936" w:hanging="576"/>
        <w:rPr>
          <w:lang w:val="en-GB"/>
        </w:rPr>
      </w:pPr>
      <w:r w:rsidRPr="007F06F4">
        <w:rPr>
          <w:lang w:val="en-GB"/>
        </w:rPr>
        <w:t>Since the last TA validation</w:t>
      </w:r>
      <w:r w:rsidR="000B4AD9">
        <w:rPr>
          <w:lang w:val="en-GB"/>
        </w:rPr>
        <w:t xml:space="preserve"> or since PUR configuration</w:t>
      </w:r>
      <w:r w:rsidRPr="007F06F4">
        <w:rPr>
          <w:lang w:val="en-GB"/>
        </w:rPr>
        <w:t xml:space="preserve">, the serving cell (N)RSRP has not increased by more than </w:t>
      </w:r>
      <w:proofErr w:type="spellStart"/>
      <w:r w:rsidRPr="00C5701A">
        <w:rPr>
          <w:i/>
          <w:iCs/>
          <w:lang w:val="en-GB"/>
        </w:rPr>
        <w:t>increaseThresh</w:t>
      </w:r>
      <w:proofErr w:type="spellEnd"/>
      <w:r w:rsidRPr="007F06F4">
        <w:rPr>
          <w:lang w:val="en-GB"/>
        </w:rPr>
        <w:t xml:space="preserve">, nor decreased by more than </w:t>
      </w:r>
      <w:proofErr w:type="spellStart"/>
      <w:r w:rsidRPr="00C5701A">
        <w:rPr>
          <w:i/>
          <w:iCs/>
          <w:lang w:val="en-GB"/>
        </w:rPr>
        <w:t>decreaseThresh</w:t>
      </w:r>
      <w:proofErr w:type="spellEnd"/>
      <w:r w:rsidRPr="007F06F4">
        <w:rPr>
          <w:lang w:val="en-GB"/>
        </w:rPr>
        <w:t xml:space="preserve"> (optionally configurable).</w:t>
      </w:r>
    </w:p>
    <w:p w14:paraId="4B2BA76E" w14:textId="40E82EB4" w:rsidR="00E769C7" w:rsidRDefault="00DB064C" w:rsidP="00235196">
      <w:pPr>
        <w:pStyle w:val="BodyText"/>
        <w:spacing w:before="120"/>
        <w:rPr>
          <w:lang w:val="en-GB"/>
        </w:rPr>
      </w:pPr>
      <w:r>
        <w:rPr>
          <w:lang w:val="en-GB"/>
        </w:rPr>
        <w:t>T</w:t>
      </w:r>
      <w:r w:rsidR="007F06F4" w:rsidRPr="007F06F4">
        <w:rPr>
          <w:lang w:val="en-GB"/>
        </w:rPr>
        <w:t xml:space="preserve">he </w:t>
      </w:r>
      <w:proofErr w:type="spellStart"/>
      <w:r w:rsidR="007F06F4" w:rsidRPr="00A25561">
        <w:rPr>
          <w:i/>
          <w:iCs/>
          <w:lang w:val="en-GB"/>
        </w:rPr>
        <w:t>pur-TimeAlignmentTimer</w:t>
      </w:r>
      <w:proofErr w:type="spellEnd"/>
      <w:r w:rsidR="007F06F4" w:rsidRPr="007F06F4">
        <w:rPr>
          <w:lang w:val="en-GB"/>
        </w:rPr>
        <w:t xml:space="preserve"> is, unlike the legacy timer in RRC_CONNECTED mode, not directly connected to how long the network can be expected to have be uplink synchronized and the current UE speed and conditions, but more of a fail-safe mechanism for the PUR configuration.</w:t>
      </w:r>
    </w:p>
    <w:p w14:paraId="5FC2143D" w14:textId="75399AC8" w:rsidR="00D369B6" w:rsidRDefault="00D369B6" w:rsidP="00235196">
      <w:pPr>
        <w:pStyle w:val="BodyText"/>
        <w:spacing w:before="120"/>
        <w:rPr>
          <w:lang w:val="en-GB"/>
        </w:rPr>
      </w:pPr>
      <w:r>
        <w:rPr>
          <w:lang w:val="en-GB"/>
        </w:rPr>
        <w:t xml:space="preserve">For CG SDT in NR, </w:t>
      </w:r>
      <w:r w:rsidR="00FC14B5">
        <w:rPr>
          <w:lang w:val="en-GB"/>
        </w:rPr>
        <w:t>a set of relevant agreements have been met</w:t>
      </w:r>
      <w:r w:rsidR="00DA2E63">
        <w:rPr>
          <w:lang w:val="en-GB"/>
        </w:rPr>
        <w:t xml:space="preserve"> in RAN2</w:t>
      </w:r>
      <w:r w:rsidR="00FC14B5">
        <w:rPr>
          <w:lang w:val="en-GB"/>
        </w:rPr>
        <w:t xml:space="preserve">, where a similar timer TAT-SDT is agreed to be configured for TA validation. Furthermore, RSRP change related threshold needs to be defined as well. </w:t>
      </w:r>
    </w:p>
    <w:tbl>
      <w:tblPr>
        <w:tblStyle w:val="TableGrid"/>
        <w:tblW w:w="0" w:type="auto"/>
        <w:tblLook w:val="04A0" w:firstRow="1" w:lastRow="0" w:firstColumn="1" w:lastColumn="0" w:noHBand="0" w:noVBand="1"/>
      </w:tblPr>
      <w:tblGrid>
        <w:gridCol w:w="9629"/>
      </w:tblGrid>
      <w:tr w:rsidR="00D369B6" w:rsidRPr="00D936C4" w14:paraId="7BFDCF82" w14:textId="77777777" w:rsidTr="00D369B6">
        <w:tc>
          <w:tcPr>
            <w:tcW w:w="9629" w:type="dxa"/>
          </w:tcPr>
          <w:p w14:paraId="530EB625" w14:textId="77777777" w:rsidR="00D369B6" w:rsidRPr="00D936C4" w:rsidRDefault="00D369B6" w:rsidP="000A7129">
            <w:pPr>
              <w:pStyle w:val="a"/>
              <w:jc w:val="both"/>
              <w:rPr>
                <w:rFonts w:ascii="Arial" w:hAnsi="Arial" w:cs="Arial"/>
                <w:sz w:val="20"/>
                <w:szCs w:val="20"/>
                <w:u w:val="single"/>
              </w:rPr>
            </w:pPr>
            <w:r w:rsidRPr="00D936C4">
              <w:rPr>
                <w:rFonts w:ascii="Arial" w:hAnsi="Arial" w:cs="Arial"/>
                <w:sz w:val="20"/>
                <w:szCs w:val="20"/>
                <w:u w:val="single"/>
              </w:rPr>
              <w:t>Some relevant agreements:</w:t>
            </w:r>
          </w:p>
          <w:p w14:paraId="0B8F11B9" w14:textId="77777777" w:rsidR="00D369B6" w:rsidRPr="00D936C4" w:rsidRDefault="00D369B6" w:rsidP="000A7129">
            <w:pPr>
              <w:pStyle w:val="Doc-text2"/>
              <w:numPr>
                <w:ilvl w:val="0"/>
                <w:numId w:val="38"/>
              </w:numPr>
              <w:spacing w:line="240" w:lineRule="auto"/>
              <w:ind w:left="360"/>
              <w:jc w:val="both"/>
              <w:rPr>
                <w:sz w:val="20"/>
                <w:szCs w:val="20"/>
              </w:rPr>
            </w:pPr>
            <w:r w:rsidRPr="00D936C4">
              <w:rPr>
                <w:sz w:val="20"/>
                <w:szCs w:val="20"/>
              </w:rPr>
              <w:t xml:space="preserve">CG-SDT resource configuration is provided to UEs in </w:t>
            </w:r>
            <w:proofErr w:type="spellStart"/>
            <w:r w:rsidRPr="00D936C4">
              <w:rPr>
                <w:sz w:val="20"/>
                <w:szCs w:val="20"/>
              </w:rPr>
              <w:t>RRC_Connected</w:t>
            </w:r>
            <w:proofErr w:type="spellEnd"/>
            <w:r w:rsidRPr="00D936C4">
              <w:rPr>
                <w:sz w:val="20"/>
                <w:szCs w:val="20"/>
              </w:rPr>
              <w:t xml:space="preserve"> only within the </w:t>
            </w:r>
            <w:proofErr w:type="spellStart"/>
            <w:r w:rsidRPr="00D936C4">
              <w:rPr>
                <w:sz w:val="20"/>
                <w:szCs w:val="20"/>
              </w:rPr>
              <w:t>RRCRelease</w:t>
            </w:r>
            <w:proofErr w:type="spellEnd"/>
            <w:r w:rsidRPr="00D936C4">
              <w:rPr>
                <w:sz w:val="20"/>
                <w:szCs w:val="20"/>
              </w:rPr>
              <w:t xml:space="preserve"> message, i.e. no need to also include it in </w:t>
            </w:r>
            <w:proofErr w:type="spellStart"/>
            <w:r w:rsidRPr="00D936C4">
              <w:rPr>
                <w:sz w:val="20"/>
                <w:szCs w:val="20"/>
              </w:rPr>
              <w:t>RRCReconfiguration</w:t>
            </w:r>
            <w:proofErr w:type="spellEnd"/>
            <w:r w:rsidRPr="00D936C4">
              <w:rPr>
                <w:sz w:val="20"/>
                <w:szCs w:val="20"/>
              </w:rPr>
              <w:t xml:space="preserve"> message </w:t>
            </w:r>
          </w:p>
          <w:p w14:paraId="0AA7AC91" w14:textId="77777777" w:rsidR="00D369B6" w:rsidRPr="00D936C4" w:rsidRDefault="00D369B6" w:rsidP="000A7129">
            <w:pPr>
              <w:pStyle w:val="Doc-text2"/>
              <w:numPr>
                <w:ilvl w:val="0"/>
                <w:numId w:val="38"/>
              </w:numPr>
              <w:spacing w:line="240" w:lineRule="auto"/>
              <w:ind w:left="360"/>
              <w:jc w:val="both"/>
              <w:rPr>
                <w:sz w:val="20"/>
                <w:szCs w:val="20"/>
              </w:rPr>
            </w:pPr>
            <w:r w:rsidRPr="00D936C4">
              <w:rPr>
                <w:sz w:val="20"/>
                <w:szCs w:val="20"/>
              </w:rPr>
              <w:t xml:space="preserve">CG-PUSCH resources can be separately configured for NUL and SUL.  FFS if we allow them at the same time.  This depends on the alignments CRs for Rel-16. </w:t>
            </w:r>
          </w:p>
          <w:p w14:paraId="5D93FFA8" w14:textId="77777777" w:rsidR="00D369B6" w:rsidRPr="00D936C4" w:rsidRDefault="00D369B6" w:rsidP="000A7129">
            <w:pPr>
              <w:pStyle w:val="Doc-text2"/>
              <w:numPr>
                <w:ilvl w:val="0"/>
                <w:numId w:val="38"/>
              </w:numPr>
              <w:spacing w:line="240" w:lineRule="auto"/>
              <w:ind w:left="360"/>
              <w:jc w:val="both"/>
              <w:rPr>
                <w:sz w:val="20"/>
                <w:szCs w:val="20"/>
              </w:rPr>
            </w:pPr>
            <w:r w:rsidRPr="00D936C4">
              <w:rPr>
                <w:sz w:val="20"/>
                <w:szCs w:val="20"/>
              </w:rPr>
              <w:t>For CG-SDT the subsequent data transmission can use the CG resource or DG (</w:t>
            </w:r>
            <w:proofErr w:type="spellStart"/>
            <w:r w:rsidRPr="00D936C4">
              <w:rPr>
                <w:sz w:val="20"/>
                <w:szCs w:val="20"/>
              </w:rPr>
              <w:t>i.e</w:t>
            </w:r>
            <w:proofErr w:type="spellEnd"/>
            <w:r w:rsidRPr="00D936C4">
              <w:rPr>
                <w:sz w:val="20"/>
                <w:szCs w:val="20"/>
              </w:rPr>
              <w:t xml:space="preserve"> dynamic grant addressed to UE’s C-RNTI). Details on C-RNTI, can be the same as the previous C-RNTI or may be configured explicitly by the network can be discussed in stage 3</w:t>
            </w:r>
          </w:p>
          <w:p w14:paraId="11C3A6BA" w14:textId="77777777" w:rsidR="00D369B6" w:rsidRPr="00D936C4" w:rsidRDefault="00D369B6" w:rsidP="000A7129">
            <w:pPr>
              <w:pStyle w:val="Doc-text2"/>
              <w:numPr>
                <w:ilvl w:val="0"/>
                <w:numId w:val="38"/>
              </w:numPr>
              <w:spacing w:line="240" w:lineRule="auto"/>
              <w:ind w:left="360"/>
              <w:jc w:val="both"/>
              <w:rPr>
                <w:sz w:val="20"/>
                <w:szCs w:val="20"/>
              </w:rPr>
            </w:pPr>
            <w:r w:rsidRPr="00D936C4">
              <w:rPr>
                <w:sz w:val="20"/>
                <w:szCs w:val="20"/>
              </w:rPr>
              <w:t xml:space="preserve">TAT-SDT is started upon receiving the TAT-SDT configuration from </w:t>
            </w:r>
            <w:proofErr w:type="spellStart"/>
            <w:r w:rsidRPr="00D936C4">
              <w:rPr>
                <w:sz w:val="20"/>
                <w:szCs w:val="20"/>
              </w:rPr>
              <w:t>gNB</w:t>
            </w:r>
            <w:proofErr w:type="spellEnd"/>
            <w:r w:rsidRPr="00D936C4">
              <w:rPr>
                <w:sz w:val="20"/>
                <w:szCs w:val="20"/>
              </w:rPr>
              <w:t xml:space="preserve">, i.e. </w:t>
            </w:r>
            <w:proofErr w:type="spellStart"/>
            <w:r w:rsidRPr="00D936C4">
              <w:rPr>
                <w:sz w:val="20"/>
                <w:szCs w:val="20"/>
              </w:rPr>
              <w:t>RRCrelease</w:t>
            </w:r>
            <w:proofErr w:type="spellEnd"/>
            <w:r w:rsidRPr="00D936C4">
              <w:rPr>
                <w:sz w:val="20"/>
                <w:szCs w:val="20"/>
              </w:rPr>
              <w:t xml:space="preserve"> message, and can be (re)started upon reception of TA command. </w:t>
            </w:r>
          </w:p>
          <w:p w14:paraId="19DFE71E" w14:textId="77777777" w:rsidR="00D369B6" w:rsidRPr="004856F6" w:rsidRDefault="00D369B6" w:rsidP="000A7129">
            <w:pPr>
              <w:pStyle w:val="Doc-text2"/>
              <w:numPr>
                <w:ilvl w:val="0"/>
                <w:numId w:val="38"/>
              </w:numPr>
              <w:spacing w:line="240" w:lineRule="auto"/>
              <w:ind w:left="360"/>
              <w:jc w:val="both"/>
              <w:rPr>
                <w:sz w:val="20"/>
                <w:szCs w:val="20"/>
              </w:rPr>
            </w:pPr>
            <w:r w:rsidRPr="004856F6">
              <w:rPr>
                <w:szCs w:val="20"/>
              </w:rPr>
              <w:t>From RAN2 point of view, assume similar to PUR, that we introduce a TA validation mechanism for SDT based on RSRP change, i.e.  RSRP-based threshold(s) are configured.  Ask RAN1 to confirm.  FFS on how to handle CG configuration when TA expires or when TA is invalid due to RSRP threshold.  Details of the TA validation procedure can be further discussed.</w:t>
            </w:r>
          </w:p>
          <w:p w14:paraId="19981F84" w14:textId="45025E5D" w:rsidR="00D369B6" w:rsidRPr="00D936C4" w:rsidRDefault="00D369B6" w:rsidP="000A7129">
            <w:pPr>
              <w:pStyle w:val="Doc-text2"/>
              <w:numPr>
                <w:ilvl w:val="0"/>
                <w:numId w:val="38"/>
              </w:numPr>
              <w:spacing w:line="240" w:lineRule="auto"/>
              <w:ind w:left="360"/>
              <w:jc w:val="both"/>
              <w:rPr>
                <w:sz w:val="20"/>
                <w:szCs w:val="20"/>
              </w:rPr>
            </w:pPr>
            <w:r w:rsidRPr="00D936C4">
              <w:rPr>
                <w:sz w:val="20"/>
                <w:szCs w:val="20"/>
              </w:rPr>
              <w:t xml:space="preserve">UE releases CG-SDT resources when TAT expires in </w:t>
            </w:r>
            <w:proofErr w:type="spellStart"/>
            <w:r w:rsidRPr="00D936C4">
              <w:rPr>
                <w:sz w:val="20"/>
                <w:szCs w:val="20"/>
              </w:rPr>
              <w:t>RRC_Inactive</w:t>
            </w:r>
            <w:proofErr w:type="spellEnd"/>
            <w:r w:rsidRPr="00D936C4">
              <w:rPr>
                <w:sz w:val="20"/>
                <w:szCs w:val="20"/>
              </w:rPr>
              <w:t xml:space="preserve"> state</w:t>
            </w:r>
          </w:p>
        </w:tc>
      </w:tr>
    </w:tbl>
    <w:p w14:paraId="10DF6F78" w14:textId="75FC152B" w:rsidR="00D369B6" w:rsidRDefault="00B73105" w:rsidP="00EC72A0">
      <w:pPr>
        <w:pStyle w:val="BodyText"/>
        <w:spacing w:before="240"/>
        <w:rPr>
          <w:lang w:val="en-GB"/>
        </w:rPr>
      </w:pPr>
      <w:r>
        <w:rPr>
          <w:lang w:val="en-GB"/>
        </w:rPr>
        <w:t xml:space="preserve">This section discusses both RSRP based and TDOA based TA validation during CG based SDT in NR according to the LS </w:t>
      </w:r>
      <w:r>
        <w:rPr>
          <w:lang w:val="en-GB"/>
        </w:rPr>
        <w:fldChar w:fldCharType="begin"/>
      </w:r>
      <w:r>
        <w:rPr>
          <w:lang w:val="en-GB"/>
        </w:rPr>
        <w:instrText xml:space="preserve"> REF _Ref68080864 \n \h  \* MERGEFORMAT </w:instrText>
      </w:r>
      <w:r>
        <w:rPr>
          <w:lang w:val="en-GB"/>
        </w:rPr>
      </w:r>
      <w:r>
        <w:rPr>
          <w:lang w:val="en-GB"/>
        </w:rPr>
        <w:fldChar w:fldCharType="separate"/>
      </w:r>
      <w:r w:rsidR="00CA17BB">
        <w:rPr>
          <w:lang w:val="en-GB"/>
        </w:rPr>
        <w:t>[3]</w:t>
      </w:r>
      <w:r>
        <w:rPr>
          <w:lang w:val="en-GB"/>
        </w:rPr>
        <w:fldChar w:fldCharType="end"/>
      </w:r>
      <w:r>
        <w:rPr>
          <w:lang w:val="en-GB"/>
        </w:rPr>
        <w:t xml:space="preserve"> from RAN2.</w:t>
      </w:r>
    </w:p>
    <w:p w14:paraId="5FDFA979" w14:textId="714C35E1" w:rsidR="00DC5932" w:rsidRDefault="00DC5932" w:rsidP="00DC5932">
      <w:pPr>
        <w:pStyle w:val="Heading3"/>
      </w:pPr>
      <w:bookmarkStart w:id="6" w:name="_2.2.1_RSRP_change"/>
      <w:bookmarkEnd w:id="6"/>
      <w:r>
        <w:t xml:space="preserve">2.2.1 </w:t>
      </w:r>
      <w:r w:rsidR="009C0AB2">
        <w:t>TA validation</w:t>
      </w:r>
      <w:r w:rsidR="00C2223F">
        <w:t xml:space="preserve"> based on RSRP and TAT</w:t>
      </w:r>
    </w:p>
    <w:p w14:paraId="28DEE760" w14:textId="1F33569B" w:rsidR="00295FB9" w:rsidRDefault="000A583F" w:rsidP="007D4944">
      <w:pPr>
        <w:pStyle w:val="BodyText"/>
        <w:rPr>
          <w:lang w:val="en-GB"/>
        </w:rPr>
      </w:pPr>
      <w:r>
        <w:rPr>
          <w:lang w:val="en-GB"/>
        </w:rPr>
        <w:t xml:space="preserve">Unlike LTE, </w:t>
      </w:r>
      <w:r w:rsidR="00AA3B2A">
        <w:rPr>
          <w:lang w:val="en-GB"/>
        </w:rPr>
        <w:t xml:space="preserve">transmissions on </w:t>
      </w:r>
      <w:r w:rsidR="005453E4">
        <w:rPr>
          <w:lang w:val="en-GB"/>
        </w:rPr>
        <w:t>different</w:t>
      </w:r>
      <w:r>
        <w:rPr>
          <w:lang w:val="en-GB"/>
        </w:rPr>
        <w:t xml:space="preserve"> resources </w:t>
      </w:r>
      <w:r w:rsidR="005453E4">
        <w:rPr>
          <w:lang w:val="en-GB"/>
        </w:rPr>
        <w:t>may be</w:t>
      </w:r>
      <w:r>
        <w:rPr>
          <w:lang w:val="en-GB"/>
        </w:rPr>
        <w:t xml:space="preserve"> associated to </w:t>
      </w:r>
      <w:r w:rsidR="005453E4">
        <w:rPr>
          <w:lang w:val="en-GB"/>
        </w:rPr>
        <w:t xml:space="preserve">different narrow </w:t>
      </w:r>
      <w:r>
        <w:rPr>
          <w:lang w:val="en-GB"/>
        </w:rPr>
        <w:t>beams</w:t>
      </w:r>
      <w:r w:rsidR="00CA76EF">
        <w:rPr>
          <w:lang w:val="en-GB"/>
        </w:rPr>
        <w:t xml:space="preserve"> in NR</w:t>
      </w:r>
      <w:r>
        <w:rPr>
          <w:lang w:val="en-GB"/>
        </w:rPr>
        <w:t>, and it</w:t>
      </w:r>
      <w:r w:rsidR="002D1211">
        <w:rPr>
          <w:lang w:val="en-GB"/>
        </w:rPr>
        <w:t xml:space="preserve"> </w:t>
      </w:r>
      <w:r w:rsidR="00DC420E">
        <w:rPr>
          <w:lang w:val="en-GB"/>
        </w:rPr>
        <w:t>is</w:t>
      </w:r>
      <w:r>
        <w:rPr>
          <w:lang w:val="en-GB"/>
        </w:rPr>
        <w:t xml:space="preserve"> also being discussed on how to </w:t>
      </w:r>
      <w:r w:rsidR="00590189">
        <w:rPr>
          <w:lang w:val="en-GB"/>
        </w:rPr>
        <w:t>support</w:t>
      </w:r>
      <w:r>
        <w:rPr>
          <w:lang w:val="en-GB"/>
        </w:rPr>
        <w:t xml:space="preserve"> the SSB to CG PUSCH mapping as described in section 2.1. </w:t>
      </w:r>
      <w:r w:rsidR="00B578F2">
        <w:rPr>
          <w:lang w:val="en-GB"/>
        </w:rPr>
        <w:t>As is illustrated in Figure 1, w</w:t>
      </w:r>
      <w:r w:rsidR="00295FB9">
        <w:rPr>
          <w:lang w:val="en-GB"/>
        </w:rPr>
        <w:t>hen a UE</w:t>
      </w:r>
      <w:r w:rsidR="00346722">
        <w:rPr>
          <w:lang w:val="en-GB"/>
        </w:rPr>
        <w:t>, at tim</w:t>
      </w:r>
      <w:r w:rsidR="00346722" w:rsidRPr="00346722">
        <w:rPr>
          <w:rFonts w:cs="Arial"/>
          <w:lang w:val="en-GB"/>
        </w:rPr>
        <w:t xml:space="preserve">e </w:t>
      </w:r>
      <m:oMath>
        <m:r>
          <w:rPr>
            <w:rFonts w:ascii="Cambria Math" w:hAnsi="Cambria Math" w:cs="Arial"/>
            <w:lang w:val="en-GB"/>
          </w:rPr>
          <m:t>t2</m:t>
        </m:r>
      </m:oMath>
      <w:r w:rsidR="00346722">
        <w:rPr>
          <w:rFonts w:eastAsiaTheme="minorEastAsia" w:cs="Arial"/>
          <w:lang w:val="en-GB"/>
        </w:rPr>
        <w:t>,</w:t>
      </w:r>
      <w:r w:rsidR="00295FB9">
        <w:rPr>
          <w:lang w:val="en-GB"/>
        </w:rPr>
        <w:t xml:space="preserve"> is </w:t>
      </w:r>
      <w:r w:rsidR="002708D4">
        <w:rPr>
          <w:lang w:val="en-GB"/>
        </w:rPr>
        <w:t>at the edge of</w:t>
      </w:r>
      <w:r w:rsidR="00295FB9">
        <w:rPr>
          <w:lang w:val="en-GB"/>
        </w:rPr>
        <w:t xml:space="preserve"> one SSB beam (beam x), the RSRP (</w:t>
      </w:r>
      <m:oMath>
        <m:r>
          <w:rPr>
            <w:rFonts w:ascii="Cambria Math" w:hAnsi="Cambria Math"/>
            <w:lang w:val="en-GB"/>
          </w:rPr>
          <m:t>RSR</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t2</m:t>
            </m:r>
          </m:sub>
        </m:sSub>
      </m:oMath>
      <w:r w:rsidR="00295FB9">
        <w:rPr>
          <w:lang w:val="en-GB"/>
        </w:rPr>
        <w:t xml:space="preserve">) measured based on </w:t>
      </w:r>
      <w:r w:rsidR="00C82737">
        <w:rPr>
          <w:lang w:val="en-GB"/>
        </w:rPr>
        <w:t>SSB</w:t>
      </w:r>
      <w:r w:rsidR="00295FB9">
        <w:rPr>
          <w:lang w:val="en-GB"/>
        </w:rPr>
        <w:t xml:space="preserve"> x may be quite </w:t>
      </w:r>
      <w:r w:rsidR="0081346D">
        <w:rPr>
          <w:lang w:val="en-GB"/>
        </w:rPr>
        <w:t>low</w:t>
      </w:r>
      <w:r w:rsidR="00295FB9">
        <w:rPr>
          <w:lang w:val="en-GB"/>
        </w:rPr>
        <w:t>, while the RSRP (</w:t>
      </w:r>
      <m:oMath>
        <m:r>
          <w:rPr>
            <w:rFonts w:ascii="Cambria Math" w:hAnsi="Cambria Math"/>
            <w:lang w:val="en-GB"/>
          </w:rPr>
          <m:t>RSR</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t1</m:t>
            </m:r>
          </m:sub>
        </m:sSub>
      </m:oMath>
      <w:r w:rsidR="00295FB9">
        <w:rPr>
          <w:lang w:val="en-GB"/>
        </w:rPr>
        <w:t xml:space="preserve">) measured based on </w:t>
      </w:r>
      <w:r w:rsidR="00192D5A">
        <w:rPr>
          <w:lang w:val="en-GB"/>
        </w:rPr>
        <w:t>SSB</w:t>
      </w:r>
      <w:r w:rsidR="00295FB9">
        <w:rPr>
          <w:lang w:val="en-GB"/>
        </w:rPr>
        <w:t xml:space="preserve"> </w:t>
      </w:r>
      <w:r w:rsidR="00E17B96">
        <w:rPr>
          <w:lang w:val="en-GB"/>
        </w:rPr>
        <w:t xml:space="preserve">x </w:t>
      </w:r>
      <w:r w:rsidR="002D3B97">
        <w:rPr>
          <w:lang w:val="en-GB"/>
        </w:rPr>
        <w:t>some time ago</w:t>
      </w:r>
      <w:r w:rsidR="00097D41">
        <w:rPr>
          <w:lang w:val="en-GB"/>
        </w:rPr>
        <w:t xml:space="preserve"> </w:t>
      </w:r>
      <w:r w:rsidR="00097D41">
        <w:rPr>
          <w:rFonts w:eastAsiaTheme="minorEastAsia" w:cs="Arial"/>
          <w:lang w:val="en-GB"/>
        </w:rPr>
        <w:t>(e.g. the time when latest TAC was received)</w:t>
      </w:r>
      <w:r w:rsidR="00776E20">
        <w:rPr>
          <w:rFonts w:eastAsiaTheme="minorEastAsia" w:cs="Arial"/>
          <w:lang w:val="en-GB"/>
        </w:rPr>
        <w:t>,</w:t>
      </w:r>
      <w:r w:rsidR="002D3B97">
        <w:rPr>
          <w:lang w:val="en-GB"/>
        </w:rPr>
        <w:t xml:space="preserve"> </w:t>
      </w:r>
      <w:r w:rsidR="00ED773A">
        <w:rPr>
          <w:lang w:val="en-GB"/>
        </w:rPr>
        <w:t>at tim</w:t>
      </w:r>
      <w:r w:rsidR="00ED773A" w:rsidRPr="00346722">
        <w:rPr>
          <w:rFonts w:cs="Arial"/>
          <w:lang w:val="en-GB"/>
        </w:rPr>
        <w:t xml:space="preserve">e </w:t>
      </w:r>
      <m:oMath>
        <m:r>
          <w:rPr>
            <w:rFonts w:ascii="Cambria Math" w:hAnsi="Cambria Math" w:cs="Arial"/>
            <w:lang w:val="en-GB"/>
          </w:rPr>
          <m:t>t1</m:t>
        </m:r>
      </m:oMath>
      <w:r w:rsidR="00776E20">
        <w:rPr>
          <w:rFonts w:eastAsiaTheme="minorEastAsia" w:cs="Arial"/>
          <w:lang w:val="en-GB"/>
        </w:rPr>
        <w:t>,</w:t>
      </w:r>
      <w:r w:rsidR="009A149B">
        <w:rPr>
          <w:rFonts w:eastAsiaTheme="minorEastAsia" w:cs="Arial"/>
          <w:lang w:val="en-GB"/>
        </w:rPr>
        <w:t xml:space="preserve"> </w:t>
      </w:r>
      <w:r w:rsidR="001B60E7">
        <w:rPr>
          <w:lang w:val="en-GB"/>
        </w:rPr>
        <w:t>may</w:t>
      </w:r>
      <w:r w:rsidR="00295FB9">
        <w:rPr>
          <w:lang w:val="en-GB"/>
        </w:rPr>
        <w:t xml:space="preserve"> be quite </w:t>
      </w:r>
      <w:r w:rsidR="00826D3F">
        <w:rPr>
          <w:lang w:val="en-GB"/>
        </w:rPr>
        <w:t>high</w:t>
      </w:r>
      <w:r w:rsidR="00071ED1">
        <w:rPr>
          <w:lang w:val="en-GB"/>
        </w:rPr>
        <w:t>.</w:t>
      </w:r>
      <w:r w:rsidR="00295FB9">
        <w:rPr>
          <w:lang w:val="en-GB"/>
        </w:rPr>
        <w:t xml:space="preserve"> </w:t>
      </w:r>
      <w:r w:rsidR="00071ED1">
        <w:rPr>
          <w:lang w:val="en-GB"/>
        </w:rPr>
        <w:t>A</w:t>
      </w:r>
      <w:r w:rsidR="00295FB9">
        <w:rPr>
          <w:lang w:val="en-GB"/>
        </w:rPr>
        <w:t>lthough the RSRP change</w:t>
      </w:r>
      <w:r w:rsidR="00521E74">
        <w:rPr>
          <w:lang w:val="en-GB"/>
        </w:rPr>
        <w:t xml:space="preserve"> (</w:t>
      </w:r>
      <m:oMath>
        <m:r>
          <w:rPr>
            <w:rFonts w:ascii="Cambria Math" w:hAnsi="Cambria Math"/>
            <w:lang w:val="en-GB"/>
          </w:rPr>
          <m:t>RSR</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t1</m:t>
            </m:r>
          </m:sub>
        </m:sSub>
        <m:r>
          <w:rPr>
            <w:rFonts w:ascii="Cambria Math" w:hAnsi="Cambria Math"/>
            <w:lang w:val="en-GB"/>
          </w:rPr>
          <m:t>-RSR</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t2</m:t>
            </m:r>
          </m:sub>
        </m:sSub>
      </m:oMath>
      <w:r w:rsidR="00521E74">
        <w:rPr>
          <w:lang w:val="en-GB"/>
        </w:rPr>
        <w:t>)</w:t>
      </w:r>
      <w:r w:rsidR="00295FB9">
        <w:rPr>
          <w:lang w:val="en-GB"/>
        </w:rPr>
        <w:t xml:space="preserve"> is </w:t>
      </w:r>
      <w:r w:rsidR="001072C6">
        <w:rPr>
          <w:lang w:val="en-GB"/>
        </w:rPr>
        <w:t xml:space="preserve">quite </w:t>
      </w:r>
      <w:r w:rsidR="00295FB9">
        <w:rPr>
          <w:lang w:val="en-GB"/>
        </w:rPr>
        <w:t xml:space="preserve">large, the TA doesn’t </w:t>
      </w:r>
      <w:r w:rsidR="008A6FFB">
        <w:rPr>
          <w:lang w:val="en-GB"/>
        </w:rPr>
        <w:t xml:space="preserve">change that much since UE is moving around the </w:t>
      </w:r>
      <w:proofErr w:type="spellStart"/>
      <w:r w:rsidR="008A6FFB">
        <w:rPr>
          <w:lang w:val="en-GB"/>
        </w:rPr>
        <w:t>basestation</w:t>
      </w:r>
      <w:proofErr w:type="spellEnd"/>
      <w:r w:rsidR="00B578F2">
        <w:rPr>
          <w:lang w:val="en-GB"/>
        </w:rPr>
        <w:t>.</w:t>
      </w:r>
    </w:p>
    <w:p w14:paraId="7F020EF8" w14:textId="2121F33F" w:rsidR="00295FB9" w:rsidRDefault="00B0627E" w:rsidP="00C76C8E">
      <w:pPr>
        <w:pStyle w:val="BodyText"/>
        <w:jc w:val="center"/>
        <w:rPr>
          <w:lang w:val="en-GB"/>
        </w:rPr>
      </w:pPr>
      <w:r>
        <w:rPr>
          <w:noProof/>
          <w:lang w:val="en-GB"/>
        </w:rPr>
        <w:lastRenderedPageBreak/>
        <w:drawing>
          <wp:inline distT="0" distB="0" distL="0" distR="0" wp14:anchorId="25E12A83" wp14:editId="6401E9BB">
            <wp:extent cx="2209800" cy="23101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1305" cy="2353489"/>
                    </a:xfrm>
                    <a:prstGeom prst="rect">
                      <a:avLst/>
                    </a:prstGeom>
                    <a:noFill/>
                  </pic:spPr>
                </pic:pic>
              </a:graphicData>
            </a:graphic>
          </wp:inline>
        </w:drawing>
      </w:r>
    </w:p>
    <w:p w14:paraId="14065AA3" w14:textId="0384A601" w:rsidR="00295FB9" w:rsidRDefault="00C76C8E" w:rsidP="00C76C8E">
      <w:pPr>
        <w:pStyle w:val="Figure"/>
        <w:rPr>
          <w:lang w:val="en-GB"/>
        </w:rPr>
      </w:pPr>
      <w:r>
        <w:rPr>
          <w:lang w:val="en-GB"/>
        </w:rPr>
        <w:t xml:space="preserve">Figure 1: RSRP </w:t>
      </w:r>
      <w:r w:rsidR="00656171">
        <w:rPr>
          <w:lang w:val="en-GB"/>
        </w:rPr>
        <w:t xml:space="preserve">is </w:t>
      </w:r>
      <w:r>
        <w:rPr>
          <w:lang w:val="en-GB"/>
        </w:rPr>
        <w:t>changing while TA is not changing</w:t>
      </w:r>
      <w:r w:rsidR="00CB53A5">
        <w:rPr>
          <w:lang w:val="en-GB"/>
        </w:rPr>
        <w:t xml:space="preserve"> in NR</w:t>
      </w:r>
    </w:p>
    <w:p w14:paraId="7E575CA3" w14:textId="6032BC0A" w:rsidR="002C7B72" w:rsidRDefault="00812F46" w:rsidP="00121AAD">
      <w:pPr>
        <w:pStyle w:val="BodyText"/>
        <w:spacing w:before="240"/>
        <w:rPr>
          <w:lang w:val="en-GB"/>
        </w:rPr>
      </w:pPr>
      <w:proofErr w:type="gramStart"/>
      <w:r>
        <w:rPr>
          <w:lang w:val="en-GB"/>
        </w:rPr>
        <w:t>So</w:t>
      </w:r>
      <w:proofErr w:type="gramEnd"/>
      <w:r>
        <w:rPr>
          <w:lang w:val="en-GB"/>
        </w:rPr>
        <w:t xml:space="preserve"> the RSRP change based </w:t>
      </w:r>
      <w:r w:rsidR="0065730E">
        <w:rPr>
          <w:lang w:val="en-GB"/>
        </w:rPr>
        <w:t>on</w:t>
      </w:r>
      <w:r>
        <w:rPr>
          <w:lang w:val="en-GB"/>
        </w:rPr>
        <w:t xml:space="preserve"> single SSB may not reflect whether TA is changing in NR.</w:t>
      </w:r>
    </w:p>
    <w:p w14:paraId="6A7BC4C9" w14:textId="50F43A36" w:rsidR="000A583F" w:rsidRDefault="00222756" w:rsidP="0068104A">
      <w:pPr>
        <w:pStyle w:val="Observation"/>
        <w:rPr>
          <w:lang w:val="en-GB"/>
        </w:rPr>
      </w:pPr>
      <w:bookmarkStart w:id="7" w:name="Observation"/>
      <w:bookmarkStart w:id="8" w:name="_Ref68171294"/>
      <w:bookmarkEnd w:id="7"/>
      <w:r w:rsidRPr="00222756">
        <w:rPr>
          <w:lang w:val="en-GB"/>
        </w:rPr>
        <w:t xml:space="preserve">RSRP change based </w:t>
      </w:r>
      <w:r w:rsidR="00103571">
        <w:rPr>
          <w:lang w:val="en-GB"/>
        </w:rPr>
        <w:t>on</w:t>
      </w:r>
      <w:r w:rsidRPr="00222756">
        <w:rPr>
          <w:lang w:val="en-GB"/>
        </w:rPr>
        <w:t xml:space="preserve"> single SSB may not reflect whether TA is changing in NR</w:t>
      </w:r>
      <w:r w:rsidR="000A583F">
        <w:rPr>
          <w:lang w:val="en-GB"/>
        </w:rPr>
        <w:t>.</w:t>
      </w:r>
      <w:bookmarkEnd w:id="8"/>
    </w:p>
    <w:p w14:paraId="32DC7576" w14:textId="668FD712" w:rsidR="00023EFF" w:rsidRDefault="002A2622" w:rsidP="00F8082A">
      <w:pPr>
        <w:pStyle w:val="BodyText"/>
        <w:spacing w:before="240"/>
        <w:rPr>
          <w:lang w:val="en-GB"/>
        </w:rPr>
      </w:pPr>
      <w:r w:rsidRPr="00F8082A">
        <w:rPr>
          <w:lang w:val="en-GB"/>
        </w:rPr>
        <w:t xml:space="preserve">In order to solve the issue </w:t>
      </w:r>
      <w:r w:rsidR="005E5827">
        <w:rPr>
          <w:lang w:val="en-GB"/>
        </w:rPr>
        <w:t>observed</w:t>
      </w:r>
      <w:r w:rsidR="00433736">
        <w:rPr>
          <w:lang w:val="en-GB"/>
        </w:rPr>
        <w:t xml:space="preserve"> above</w:t>
      </w:r>
      <w:r w:rsidRPr="00F8082A">
        <w:rPr>
          <w:lang w:val="en-GB"/>
        </w:rPr>
        <w:t xml:space="preserve">, the RSRP change </w:t>
      </w:r>
      <w:r w:rsidR="009F1E7F">
        <w:rPr>
          <w:lang w:val="en-GB"/>
        </w:rPr>
        <w:t xml:space="preserve">should not be based on single SSB index, </w:t>
      </w:r>
      <w:r w:rsidR="004B541B">
        <w:rPr>
          <w:lang w:val="en-GB"/>
        </w:rPr>
        <w:t xml:space="preserve">and </w:t>
      </w:r>
      <w:r w:rsidR="009F1E7F">
        <w:rPr>
          <w:lang w:val="en-GB"/>
        </w:rPr>
        <w:t xml:space="preserve">to </w:t>
      </w:r>
      <w:proofErr w:type="spellStart"/>
      <w:proofErr w:type="gramStart"/>
      <w:r w:rsidR="009F1E7F">
        <w:rPr>
          <w:lang w:val="en-GB"/>
        </w:rPr>
        <w:t>improved</w:t>
      </w:r>
      <w:proofErr w:type="spellEnd"/>
      <w:proofErr w:type="gramEnd"/>
      <w:r w:rsidR="009F1E7F">
        <w:rPr>
          <w:lang w:val="en-GB"/>
        </w:rPr>
        <w:t xml:space="preserve"> the </w:t>
      </w:r>
      <w:r w:rsidR="004B541B">
        <w:rPr>
          <w:lang w:val="en-GB"/>
        </w:rPr>
        <w:t xml:space="preserve">TA validation </w:t>
      </w:r>
      <w:r w:rsidR="009F1E7F">
        <w:rPr>
          <w:lang w:val="en-GB"/>
        </w:rPr>
        <w:t xml:space="preserve">accuracy, </w:t>
      </w:r>
      <w:r w:rsidR="002938BA">
        <w:rPr>
          <w:lang w:val="en-GB"/>
        </w:rPr>
        <w:t>multiple</w:t>
      </w:r>
      <w:r w:rsidR="009F1E7F">
        <w:rPr>
          <w:lang w:val="en-GB"/>
        </w:rPr>
        <w:t xml:space="preserve"> SSBs may be required to be measured and averaged to </w:t>
      </w:r>
      <w:r w:rsidR="005A4FAD">
        <w:rPr>
          <w:lang w:val="en-GB"/>
        </w:rPr>
        <w:t>derive</w:t>
      </w:r>
      <w:r w:rsidR="009F1E7F">
        <w:rPr>
          <w:lang w:val="en-GB"/>
        </w:rPr>
        <w:t xml:space="preserve"> the RSRP change.</w:t>
      </w:r>
      <w:r w:rsidR="00F02805">
        <w:rPr>
          <w:lang w:val="en-GB"/>
        </w:rPr>
        <w:t xml:space="preserve"> </w:t>
      </w:r>
      <w:r w:rsidR="00FD3974">
        <w:rPr>
          <w:lang w:val="en-GB"/>
        </w:rPr>
        <w:t xml:space="preserve">The multiple SSBs can be </w:t>
      </w:r>
      <w:r w:rsidR="00086928">
        <w:rPr>
          <w:lang w:val="en-GB"/>
        </w:rPr>
        <w:t>determined</w:t>
      </w:r>
      <w:r w:rsidR="00FD3974">
        <w:rPr>
          <w:lang w:val="en-GB"/>
        </w:rPr>
        <w:t xml:space="preserve"> based on a configured absolute RSRP threshold.</w:t>
      </w:r>
    </w:p>
    <w:p w14:paraId="15EB5231" w14:textId="333DAFF3" w:rsidR="009F1E7F" w:rsidRDefault="00F02805" w:rsidP="00F8082A">
      <w:pPr>
        <w:pStyle w:val="BodyText"/>
        <w:spacing w:before="240"/>
        <w:rPr>
          <w:lang w:val="en-GB"/>
        </w:rPr>
      </w:pPr>
      <w:r>
        <w:rPr>
          <w:lang w:val="en-GB"/>
        </w:rPr>
        <w:t>As an example</w:t>
      </w:r>
      <w:r w:rsidR="006E5951">
        <w:rPr>
          <w:lang w:val="en-GB"/>
        </w:rPr>
        <w:t xml:space="preserve"> </w:t>
      </w:r>
      <w:proofErr w:type="spellStart"/>
      <w:r w:rsidR="006E5951">
        <w:rPr>
          <w:lang w:val="en-GB"/>
        </w:rPr>
        <w:t>illustraged</w:t>
      </w:r>
      <w:proofErr w:type="spellEnd"/>
      <w:r w:rsidR="006E5951">
        <w:rPr>
          <w:lang w:val="en-GB"/>
        </w:rPr>
        <w:t xml:space="preserve"> in Figure 2</w:t>
      </w:r>
      <w:r>
        <w:rPr>
          <w:lang w:val="en-GB"/>
        </w:rPr>
        <w:t>, the SSBs</w:t>
      </w:r>
      <w:r w:rsidR="001B5226">
        <w:rPr>
          <w:lang w:val="en-GB"/>
        </w:rPr>
        <w:t xml:space="preserve"> (SSB0 and SSB1)</w:t>
      </w:r>
      <w:r>
        <w:rPr>
          <w:lang w:val="en-GB"/>
        </w:rPr>
        <w:t xml:space="preserve"> meeting the </w:t>
      </w:r>
      <w:r w:rsidR="005015C5">
        <w:rPr>
          <w:lang w:val="en-GB"/>
        </w:rPr>
        <w:t xml:space="preserve">absolute RSRP </w:t>
      </w:r>
      <w:r>
        <w:rPr>
          <w:lang w:val="en-GB"/>
        </w:rPr>
        <w:t>requirement</w:t>
      </w:r>
      <w:r w:rsidR="00B95770">
        <w:rPr>
          <w:lang w:val="en-GB"/>
        </w:rPr>
        <w:t>,</w:t>
      </w:r>
      <w:r>
        <w:rPr>
          <w:lang w:val="en-GB"/>
        </w:rPr>
        <w:t xml:space="preserve"> </w:t>
      </w:r>
      <w:r w:rsidR="00E865FF">
        <w:rPr>
          <w:lang w:val="en-GB"/>
        </w:rPr>
        <w:t>when the TAC was received</w:t>
      </w:r>
      <w:r w:rsidR="00B95770">
        <w:rPr>
          <w:lang w:val="en-GB"/>
        </w:rPr>
        <w:t>,</w:t>
      </w:r>
      <w:r>
        <w:rPr>
          <w:lang w:val="en-GB"/>
        </w:rPr>
        <w:t xml:space="preserve"> can be measured to derive an average RSRP, and the SSBs</w:t>
      </w:r>
      <w:r w:rsidR="00132C25">
        <w:rPr>
          <w:lang w:val="en-GB"/>
        </w:rPr>
        <w:t xml:space="preserve"> (SSB2 and SSB3)</w:t>
      </w:r>
      <w:r>
        <w:rPr>
          <w:lang w:val="en-GB"/>
        </w:rPr>
        <w:t xml:space="preserve"> meeting the </w:t>
      </w:r>
      <w:r w:rsidR="00F025E8">
        <w:rPr>
          <w:lang w:val="en-GB"/>
        </w:rPr>
        <w:t xml:space="preserve">absolute RSRP </w:t>
      </w:r>
      <w:r>
        <w:rPr>
          <w:lang w:val="en-GB"/>
        </w:rPr>
        <w:t>requirement</w:t>
      </w:r>
      <w:r w:rsidR="006D601B">
        <w:rPr>
          <w:lang w:val="en-GB"/>
        </w:rPr>
        <w:t>, when TA validation is performed</w:t>
      </w:r>
      <w:r>
        <w:rPr>
          <w:lang w:val="en-GB"/>
        </w:rPr>
        <w:t xml:space="preserve"> for current CG PUSCH transmission</w:t>
      </w:r>
      <w:r w:rsidR="006D601B">
        <w:rPr>
          <w:lang w:val="en-GB"/>
        </w:rPr>
        <w:t>,</w:t>
      </w:r>
      <w:r>
        <w:rPr>
          <w:lang w:val="en-GB"/>
        </w:rPr>
        <w:t xml:space="preserve"> can be measured to derive another average RSRP. The difference </w:t>
      </w:r>
      <w:r w:rsidR="000833C6">
        <w:rPr>
          <w:lang w:val="en-GB"/>
        </w:rPr>
        <w:t>between</w:t>
      </w:r>
      <w:r>
        <w:rPr>
          <w:lang w:val="en-GB"/>
        </w:rPr>
        <w:t xml:space="preserve"> these 2 average</w:t>
      </w:r>
      <w:r w:rsidR="0022130B">
        <w:rPr>
          <w:lang w:val="en-GB"/>
        </w:rPr>
        <w:t>d</w:t>
      </w:r>
      <w:r>
        <w:rPr>
          <w:lang w:val="en-GB"/>
        </w:rPr>
        <w:t xml:space="preserve"> RSRP values compared to an RSRP change threshold defined for current CG PUSCH configuration can be used to determine whether TA is valid or not.</w:t>
      </w:r>
    </w:p>
    <w:p w14:paraId="74165EE9" w14:textId="4D2DF0B6" w:rsidR="001C2716" w:rsidRDefault="00E3157B" w:rsidP="001C2716">
      <w:pPr>
        <w:pStyle w:val="BodyText"/>
        <w:spacing w:before="240"/>
        <w:jc w:val="center"/>
        <w:rPr>
          <w:lang w:val="en-GB"/>
        </w:rPr>
      </w:pPr>
      <w:r>
        <w:rPr>
          <w:noProof/>
          <w:lang w:val="en-GB"/>
        </w:rPr>
        <w:drawing>
          <wp:inline distT="0" distB="0" distL="0" distR="0" wp14:anchorId="6991AE36" wp14:editId="58846CA4">
            <wp:extent cx="2790825" cy="25170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4846" cy="2538717"/>
                    </a:xfrm>
                    <a:prstGeom prst="rect">
                      <a:avLst/>
                    </a:prstGeom>
                    <a:noFill/>
                  </pic:spPr>
                </pic:pic>
              </a:graphicData>
            </a:graphic>
          </wp:inline>
        </w:drawing>
      </w:r>
    </w:p>
    <w:p w14:paraId="10A162BF" w14:textId="3B3BD680" w:rsidR="001C2716" w:rsidRDefault="001C2716">
      <w:pPr>
        <w:pStyle w:val="Figure"/>
      </w:pPr>
      <w:r w:rsidRPr="00E94DBB">
        <w:t xml:space="preserve">Figure </w:t>
      </w:r>
      <w:r w:rsidR="00677FBC" w:rsidRPr="00E94DBB">
        <w:t>2</w:t>
      </w:r>
      <w:r w:rsidRPr="00E94DBB">
        <w:t xml:space="preserve">: </w:t>
      </w:r>
      <w:r w:rsidR="007A2377" w:rsidRPr="00E94DBB">
        <w:t xml:space="preserve">multiple-SSB based </w:t>
      </w:r>
      <w:r w:rsidRPr="00E94DBB">
        <w:t xml:space="preserve">RSRP </w:t>
      </w:r>
      <w:r w:rsidR="007A2377" w:rsidRPr="00E94DBB">
        <w:t>for TA validation</w:t>
      </w:r>
    </w:p>
    <w:p w14:paraId="01A0B69C" w14:textId="31C04023" w:rsidR="00023EFF" w:rsidRPr="00E94DBB" w:rsidRDefault="00023EFF" w:rsidP="00E94DBB">
      <w:pPr>
        <w:pStyle w:val="Caption"/>
        <w:rPr>
          <w:bCs/>
        </w:rPr>
      </w:pPr>
      <w:r w:rsidRPr="00E94DBB">
        <w:rPr>
          <w:b w:val="0"/>
          <w:bCs/>
          <w:lang w:eastAsia="en-US"/>
        </w:rPr>
        <w:t>According to the discussions above, we have following proposal.</w:t>
      </w:r>
    </w:p>
    <w:p w14:paraId="63C46433" w14:textId="77E364FF" w:rsidR="00F8082A" w:rsidRPr="009F1E7F" w:rsidRDefault="00825DD2" w:rsidP="009F1E7F">
      <w:pPr>
        <w:pStyle w:val="Proposal"/>
        <w:tabs>
          <w:tab w:val="clear" w:pos="1304"/>
        </w:tabs>
        <w:ind w:left="1701" w:hanging="1701"/>
        <w:rPr>
          <w:rFonts w:cs="Arial"/>
          <w:color w:val="000000"/>
        </w:rPr>
      </w:pPr>
      <w:bookmarkStart w:id="9" w:name="_Toc68624324"/>
      <w:r>
        <w:rPr>
          <w:rFonts w:cs="Arial"/>
          <w:color w:val="000000"/>
        </w:rPr>
        <w:lastRenderedPageBreak/>
        <w:t xml:space="preserve">Use </w:t>
      </w:r>
      <w:r w:rsidR="009F1E7F">
        <w:rPr>
          <w:rFonts w:cs="Arial"/>
          <w:color w:val="000000"/>
        </w:rPr>
        <w:t xml:space="preserve">RSRP measurement on </w:t>
      </w:r>
      <w:r w:rsidR="009D75DA">
        <w:rPr>
          <w:rFonts w:cs="Arial"/>
          <w:color w:val="000000"/>
        </w:rPr>
        <w:t xml:space="preserve">a </w:t>
      </w:r>
      <w:r w:rsidR="005C1533">
        <w:rPr>
          <w:rFonts w:cs="Arial"/>
          <w:color w:val="000000"/>
        </w:rPr>
        <w:t>set</w:t>
      </w:r>
      <w:r w:rsidR="009D75DA">
        <w:rPr>
          <w:rFonts w:cs="Arial"/>
          <w:color w:val="000000"/>
        </w:rPr>
        <w:t xml:space="preserve"> of </w:t>
      </w:r>
      <w:r w:rsidR="009F1E7F">
        <w:rPr>
          <w:rFonts w:cs="Arial"/>
          <w:color w:val="000000"/>
        </w:rPr>
        <w:t xml:space="preserve">SSBs </w:t>
      </w:r>
      <w:r w:rsidR="00746E75">
        <w:rPr>
          <w:rFonts w:cs="Arial"/>
          <w:color w:val="000000"/>
        </w:rPr>
        <w:t xml:space="preserve">per CG PUSCH configuration </w:t>
      </w:r>
      <w:r w:rsidR="009F1E7F">
        <w:rPr>
          <w:rFonts w:cs="Arial"/>
          <w:color w:val="000000"/>
        </w:rPr>
        <w:t>to derive an RSRP change for TA validation in CG based SDT</w:t>
      </w:r>
      <w:r w:rsidR="00987504">
        <w:rPr>
          <w:rFonts w:cs="Arial"/>
          <w:color w:val="000000"/>
        </w:rPr>
        <w:t xml:space="preserve">, and the </w:t>
      </w:r>
      <w:r w:rsidR="00133D58">
        <w:rPr>
          <w:rFonts w:cs="Arial"/>
          <w:color w:val="000000"/>
        </w:rPr>
        <w:t>set</w:t>
      </w:r>
      <w:r w:rsidR="00987504">
        <w:rPr>
          <w:rFonts w:cs="Arial"/>
          <w:color w:val="000000"/>
        </w:rPr>
        <w:t xml:space="preserve"> of SSBs can be determined based on </w:t>
      </w:r>
      <w:r w:rsidR="003E6D82">
        <w:rPr>
          <w:rFonts w:cs="Arial"/>
          <w:color w:val="000000"/>
        </w:rPr>
        <w:t>an</w:t>
      </w:r>
      <w:r w:rsidR="004073A6">
        <w:rPr>
          <w:rFonts w:cs="Arial"/>
          <w:color w:val="000000"/>
        </w:rPr>
        <w:t xml:space="preserve"> </w:t>
      </w:r>
      <w:r w:rsidR="00987504">
        <w:rPr>
          <w:rFonts w:cs="Arial"/>
          <w:color w:val="000000"/>
        </w:rPr>
        <w:t>absolute RSRP criterial</w:t>
      </w:r>
      <w:r w:rsidR="00412EAB">
        <w:rPr>
          <w:rFonts w:cs="Arial"/>
          <w:color w:val="000000"/>
        </w:rPr>
        <w:t xml:space="preserve"> </w:t>
      </w:r>
      <w:r w:rsidR="002650B0">
        <w:rPr>
          <w:rFonts w:cs="Arial"/>
          <w:color w:val="000000"/>
        </w:rPr>
        <w:t xml:space="preserve">with </w:t>
      </w:r>
      <w:r w:rsidR="001C0F7E">
        <w:rPr>
          <w:rFonts w:cs="Arial"/>
          <w:color w:val="000000"/>
        </w:rPr>
        <w:t xml:space="preserve">an </w:t>
      </w:r>
      <w:r w:rsidR="002650B0">
        <w:rPr>
          <w:rFonts w:cs="Arial"/>
          <w:color w:val="000000"/>
        </w:rPr>
        <w:t xml:space="preserve">absolute RSRP threshold </w:t>
      </w:r>
      <w:r w:rsidR="00412EAB">
        <w:rPr>
          <w:rFonts w:cs="Arial"/>
          <w:color w:val="000000"/>
        </w:rPr>
        <w:t>configured for TA validation</w:t>
      </w:r>
      <w:r w:rsidR="00987504">
        <w:rPr>
          <w:rFonts w:cs="Arial"/>
          <w:color w:val="000000"/>
        </w:rPr>
        <w:t>.</w:t>
      </w:r>
      <w:bookmarkEnd w:id="9"/>
    </w:p>
    <w:p w14:paraId="219BCE1E" w14:textId="77777777" w:rsidR="00E05EF4" w:rsidRPr="005B078C" w:rsidRDefault="00E05EF4" w:rsidP="00E05EF4">
      <w:pPr>
        <w:jc w:val="both"/>
      </w:pPr>
      <w:r w:rsidRPr="005B078C">
        <w:t>In NR</w:t>
      </w:r>
      <w:r>
        <w:t>,</w:t>
      </w:r>
      <w:r w:rsidRPr="005B078C">
        <w:t xml:space="preserve"> some of the SSB beams may be wider (e.g. beam width of 30 degrees), and some of the SSB beams may be narrower (e.g. beam width of 10 degrees). The beam contains Pw dB or Z% of the power compared to the total power within the beamwidth </w:t>
      </w:r>
      <w:proofErr w:type="spellStart"/>
      <w:r w:rsidRPr="005B078C">
        <w:t>e.g.Pw</w:t>
      </w:r>
      <w:proofErr w:type="spellEnd"/>
      <w:r w:rsidRPr="005B078C">
        <w:t xml:space="preserve"> = -3dB. The beamwidth is one of the beam characteristics.</w:t>
      </w:r>
    </w:p>
    <w:p w14:paraId="713F25BE" w14:textId="77777777" w:rsidR="00E05EF4" w:rsidRDefault="00E05EF4" w:rsidP="00E05EF4">
      <w:pPr>
        <w:jc w:val="both"/>
      </w:pPr>
      <w:r>
        <w:t xml:space="preserve">For the subset of SSBs with wider beams, a shorter TAT may be preferred as the RSRP for this wider SSB beam may not change that much (compared to same movement in narrow SSB beams) meaning that the RSRP variation criteria may be not enough if the TAT duration is too long and there could also be a lot of UEs selecting that SSB since it’s wider which requires more stringent TA requirement to avoid interference when the load is high. Otherwise if a relatively long TAT is used, the TA validation method may result in incorrect or less reliable outcome resulting in UE transmitting the SDT using an invalid TA value. </w:t>
      </w:r>
    </w:p>
    <w:p w14:paraId="1E97E9DA" w14:textId="53D553F6" w:rsidR="00E05EF4" w:rsidRDefault="00E05EF4" w:rsidP="00E05EF4">
      <w:pPr>
        <w:jc w:val="both"/>
      </w:pPr>
      <w:r>
        <w:t>For the subset of SSBs with narrower beams, a longer TAT can be allowed since the SSB beam switching happens more frequently among those narrow beams (RSRP is also easy to change which can also be able to invalidate the TA within the long duration of TAT) and there will be not that many UEs selecting those beams as they are restricted to be within the area covered by those narrow beams.</w:t>
      </w:r>
    </w:p>
    <w:p w14:paraId="3A02D3B8" w14:textId="74FAEB1D" w:rsidR="00F70974" w:rsidRDefault="00F70974" w:rsidP="00E05EF4">
      <w:pPr>
        <w:jc w:val="both"/>
      </w:pPr>
      <w:r>
        <w:t>According to above, the RSRP variation threshold and TAT configurations should be able to be configured differently for different subset of SSBs with different beam width.</w:t>
      </w:r>
      <w:r w:rsidR="00557301">
        <w:t xml:space="preserve"> And here different subset of SSBs can be</w:t>
      </w:r>
      <w:r w:rsidR="00E13A80">
        <w:t xml:space="preserve">, as an example, </w:t>
      </w:r>
      <w:r w:rsidR="00557301">
        <w:t xml:space="preserve">for different CG PUSCH </w:t>
      </w:r>
      <w:proofErr w:type="spellStart"/>
      <w:r w:rsidR="00557301">
        <w:t>configuations</w:t>
      </w:r>
      <w:proofErr w:type="spellEnd"/>
      <w:r w:rsidR="00557301">
        <w:t>.</w:t>
      </w:r>
    </w:p>
    <w:p w14:paraId="6CD59F95" w14:textId="2DC899A8" w:rsidR="005E5882" w:rsidRDefault="008A0C7B" w:rsidP="00E94DBB">
      <w:pPr>
        <w:pStyle w:val="Proposal"/>
      </w:pPr>
      <w:bookmarkStart w:id="10" w:name="_Toc68422012"/>
      <w:bookmarkStart w:id="11" w:name="_Toc68446866"/>
      <w:bookmarkStart w:id="12" w:name="_Toc68421980"/>
      <w:bookmarkStart w:id="13" w:name="_Toc68422013"/>
      <w:bookmarkStart w:id="14" w:name="_Toc68446867"/>
      <w:bookmarkStart w:id="15" w:name="_Toc68421981"/>
      <w:bookmarkStart w:id="16" w:name="_Toc68422014"/>
      <w:bookmarkStart w:id="17" w:name="_Toc68446868"/>
      <w:bookmarkStart w:id="18" w:name="_Toc68421982"/>
      <w:bookmarkStart w:id="19" w:name="_Toc68422015"/>
      <w:bookmarkStart w:id="20" w:name="_Toc68446869"/>
      <w:bookmarkStart w:id="21" w:name="_Toc68421983"/>
      <w:bookmarkStart w:id="22" w:name="_Toc68422016"/>
      <w:bookmarkStart w:id="23" w:name="_Toc68446870"/>
      <w:bookmarkStart w:id="24" w:name="_Toc68421984"/>
      <w:bookmarkStart w:id="25" w:name="_Toc68422017"/>
      <w:bookmarkStart w:id="26" w:name="_Toc68446871"/>
      <w:bookmarkStart w:id="27" w:name="_Toc68421985"/>
      <w:bookmarkStart w:id="28" w:name="_Toc68422018"/>
      <w:bookmarkStart w:id="29" w:name="_Toc68446872"/>
      <w:bookmarkStart w:id="30" w:name="_Toc68421986"/>
      <w:bookmarkStart w:id="31" w:name="_Toc68422019"/>
      <w:bookmarkStart w:id="32" w:name="_Toc68446873"/>
      <w:bookmarkStart w:id="33" w:name="_Toc68421987"/>
      <w:bookmarkStart w:id="34" w:name="_Toc68422020"/>
      <w:bookmarkStart w:id="35" w:name="_Toc68446874"/>
      <w:bookmarkStart w:id="36" w:name="_Toc6862432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cs="Arial"/>
          <w:color w:val="000000"/>
        </w:rPr>
        <w:t>D</w:t>
      </w:r>
      <w:r w:rsidRPr="003C3833">
        <w:rPr>
          <w:rFonts w:cs="Arial"/>
          <w:color w:val="000000"/>
        </w:rPr>
        <w:t>ifferent RSRP variation threshold</w:t>
      </w:r>
      <w:r>
        <w:rPr>
          <w:rFonts w:cs="Arial"/>
          <w:color w:val="000000"/>
        </w:rPr>
        <w:t>s</w:t>
      </w:r>
      <w:r w:rsidR="00F70974">
        <w:rPr>
          <w:rFonts w:cs="Arial"/>
          <w:color w:val="000000"/>
        </w:rPr>
        <w:t xml:space="preserve"> and TAT </w:t>
      </w:r>
      <w:proofErr w:type="spellStart"/>
      <w:r w:rsidR="00F70974">
        <w:rPr>
          <w:rFonts w:cs="Arial"/>
          <w:color w:val="000000"/>
        </w:rPr>
        <w:t>configuations</w:t>
      </w:r>
      <w:proofErr w:type="spellEnd"/>
      <w:r w:rsidRPr="003C3833">
        <w:rPr>
          <w:rFonts w:cs="Arial"/>
          <w:color w:val="000000"/>
        </w:rPr>
        <w:t xml:space="preserve"> can be configured</w:t>
      </w:r>
      <w:r>
        <w:rPr>
          <w:rFonts w:cs="Arial"/>
          <w:color w:val="000000"/>
        </w:rPr>
        <w:t xml:space="preserve"> for different sets of SSBs with different beam width</w:t>
      </w:r>
      <w:r w:rsidR="00557301">
        <w:rPr>
          <w:rFonts w:cs="Arial"/>
          <w:color w:val="000000"/>
        </w:rPr>
        <w:t xml:space="preserve"> which can be e.g. </w:t>
      </w:r>
      <w:r w:rsidR="00D307CE">
        <w:rPr>
          <w:rFonts w:cs="Arial"/>
          <w:color w:val="000000"/>
        </w:rPr>
        <w:t>in</w:t>
      </w:r>
      <w:r w:rsidR="00557301">
        <w:rPr>
          <w:rFonts w:cs="Arial"/>
          <w:color w:val="000000"/>
        </w:rPr>
        <w:t xml:space="preserve"> different CG PUSCH </w:t>
      </w:r>
      <w:proofErr w:type="spellStart"/>
      <w:r w:rsidR="00557301">
        <w:rPr>
          <w:rFonts w:cs="Arial"/>
          <w:color w:val="000000"/>
        </w:rPr>
        <w:t>configuations</w:t>
      </w:r>
      <w:proofErr w:type="spellEnd"/>
      <w:r w:rsidRPr="003C3833">
        <w:rPr>
          <w:rFonts w:cs="Arial"/>
          <w:color w:val="000000"/>
        </w:rPr>
        <w:t>.</w:t>
      </w:r>
      <w:bookmarkEnd w:id="36"/>
    </w:p>
    <w:p w14:paraId="39EEA87C" w14:textId="5B0CFE15" w:rsidR="00B2202A" w:rsidRPr="00C23E82" w:rsidRDefault="006C5C24" w:rsidP="00E94DBB">
      <w:pPr>
        <w:pStyle w:val="Heading3"/>
        <w:spacing w:before="240"/>
        <w:ind w:left="1138" w:hanging="1138"/>
      </w:pPr>
      <w:r>
        <w:t xml:space="preserve">2.2.2 </w:t>
      </w:r>
      <w:r w:rsidR="004B50B0">
        <w:t>TA validation</w:t>
      </w:r>
      <w:r w:rsidR="00C80EFE">
        <w:t xml:space="preserve"> based on TDOA</w:t>
      </w:r>
    </w:p>
    <w:p w14:paraId="41B8AB62" w14:textId="73A15727" w:rsidR="00E05EF4" w:rsidRDefault="00E05EF4" w:rsidP="00E94DBB">
      <w:pPr>
        <w:jc w:val="both"/>
      </w:pPr>
      <w:r w:rsidRPr="00230E49">
        <w:t>On top of the TA validation based on RSRP change</w:t>
      </w:r>
      <w:r w:rsidR="00C755DE">
        <w:t xml:space="preserve"> and TAT</w:t>
      </w:r>
      <w:r w:rsidRPr="00230E49">
        <w:rPr>
          <w:rFonts w:hint="eastAsia"/>
        </w:rPr>
        <w:t>,</w:t>
      </w:r>
      <w:r w:rsidRPr="00230E49">
        <w:t xml:space="preserve"> TA validation can also be based on the received time difference. By applying both RSRP based validation and received timing difference based validation, the TA validation becomes more reliable which is especially important in FR2 scenarios where multiple beam resources can be configured. In this case, the received downlink beam timings are compared to a threshold (similar to RSRP based method) and TA can be considered valid when the beam timing has not changed significantly.</w:t>
      </w:r>
    </w:p>
    <w:p w14:paraId="6493A418" w14:textId="77777777" w:rsidR="00E05EF4" w:rsidRPr="00230E49" w:rsidRDefault="00E05EF4" w:rsidP="00E05EF4">
      <w:pPr>
        <w:pStyle w:val="BodyText"/>
        <w:rPr>
          <w:rFonts w:eastAsiaTheme="minorEastAsia" w:cs="Arial"/>
          <w:szCs w:val="20"/>
          <w:lang w:val="en-GB"/>
        </w:rPr>
      </w:pPr>
      <w:r w:rsidRPr="00230E49">
        <w:rPr>
          <w:rFonts w:cs="Arial"/>
          <w:szCs w:val="20"/>
          <w:lang w:val="en-GB"/>
        </w:rPr>
        <w:t>As an example illustrated in Figure 3,</w:t>
      </w:r>
      <w:r>
        <w:rPr>
          <w:rFonts w:cs="Arial"/>
          <w:szCs w:val="20"/>
          <w:lang w:val="en-GB"/>
        </w:rPr>
        <w:t xml:space="preserve"> </w:t>
      </w:r>
      <w:r w:rsidRPr="00230E49">
        <w:rPr>
          <w:rFonts w:eastAsia="Calibri" w:cs="Arial"/>
          <w:szCs w:val="20"/>
          <w:lang w:val="en-GB"/>
        </w:rPr>
        <w:t xml:space="preserve">UE determines received </w:t>
      </w:r>
      <w:r>
        <w:rPr>
          <w:rFonts w:eastAsia="Calibri" w:cs="Arial"/>
          <w:szCs w:val="20"/>
          <w:lang w:val="en-GB"/>
        </w:rPr>
        <w:t xml:space="preserve">downlink </w:t>
      </w:r>
      <w:r w:rsidRPr="00230E49">
        <w:rPr>
          <w:rFonts w:eastAsia="Calibri" w:cs="Arial"/>
          <w:szCs w:val="20"/>
          <w:lang w:val="en-GB"/>
        </w:rPr>
        <w:t>timing (</w:t>
      </w:r>
      <m:oMath>
        <m:sSub>
          <m:sSubPr>
            <m:ctrlPr>
              <w:rPr>
                <w:rFonts w:ascii="Cambria Math" w:hAnsi="Cambria Math" w:cs="Arial"/>
                <w:i/>
                <w:szCs w:val="20"/>
                <w:lang w:val="en-GB"/>
              </w:rPr>
            </m:ctrlPr>
          </m:sSubPr>
          <m:e>
            <m:r>
              <w:rPr>
                <w:rFonts w:ascii="Cambria Math" w:hAnsi="Cambria Math" w:cs="Arial"/>
                <w:szCs w:val="20"/>
                <w:lang w:val="en-GB"/>
              </w:rPr>
              <m:t>t</m:t>
            </m:r>
          </m:e>
          <m:sub>
            <m:r>
              <w:rPr>
                <w:rFonts w:ascii="Cambria Math" w:hAnsi="Cambria Math" w:cs="Arial"/>
                <w:szCs w:val="20"/>
                <w:lang w:val="en-GB"/>
              </w:rPr>
              <m:t>SSB</m:t>
            </m:r>
            <m:r>
              <w:rPr>
                <w:rFonts w:ascii="Cambria Math" w:eastAsia="Calibri" w:hAnsi="Cambria Math" w:cs="Arial"/>
                <w:szCs w:val="20"/>
                <w:lang w:val="en-GB"/>
              </w:rPr>
              <m:t>0</m:t>
            </m:r>
          </m:sub>
        </m:sSub>
      </m:oMath>
      <w:r w:rsidRPr="00230E49">
        <w:rPr>
          <w:rFonts w:eastAsia="Calibri" w:cs="Arial"/>
          <w:szCs w:val="20"/>
          <w:lang w:val="en-GB"/>
        </w:rPr>
        <w:t>) of the strongest beam (</w:t>
      </w:r>
      <m:oMath>
        <m:r>
          <w:rPr>
            <w:rFonts w:ascii="Cambria Math" w:eastAsia="Calibri" w:hAnsi="Cambria Math" w:cs="Arial"/>
            <w:szCs w:val="20"/>
            <w:lang w:val="en-GB"/>
          </w:rPr>
          <m:t>SSB0</m:t>
        </m:r>
      </m:oMath>
      <w:r w:rsidRPr="00230E49">
        <w:rPr>
          <w:rFonts w:eastAsia="Calibri" w:cs="Arial"/>
          <w:szCs w:val="20"/>
          <w:lang w:val="en-GB"/>
        </w:rPr>
        <w:t xml:space="preserve">) at time </w:t>
      </w:r>
      <m:oMath>
        <m:sSub>
          <m:sSubPr>
            <m:ctrlPr>
              <w:rPr>
                <w:rFonts w:ascii="Cambria Math" w:hAnsi="Cambria Math" w:cs="Arial"/>
                <w:i/>
                <w:szCs w:val="20"/>
                <w:lang w:val="en-GB"/>
              </w:rPr>
            </m:ctrlPr>
          </m:sSubPr>
          <m:e>
            <m:r>
              <w:rPr>
                <w:rFonts w:ascii="Cambria Math" w:hAnsi="Cambria Math" w:cs="Arial"/>
                <w:szCs w:val="20"/>
                <w:lang w:val="en-GB"/>
              </w:rPr>
              <m:t>t</m:t>
            </m:r>
          </m:e>
          <m:sub>
            <m:r>
              <w:rPr>
                <w:rFonts w:ascii="Cambria Math" w:eastAsia="Calibri" w:hAnsi="Cambria Math" w:cs="Arial"/>
                <w:szCs w:val="20"/>
                <w:lang w:val="en-GB"/>
              </w:rPr>
              <m:t>1</m:t>
            </m:r>
          </m:sub>
        </m:sSub>
      </m:oMath>
      <w:r w:rsidRPr="00230E49">
        <w:rPr>
          <w:rFonts w:cs="Arial"/>
          <w:szCs w:val="20"/>
          <w:lang w:val="en-GB"/>
        </w:rPr>
        <w:t xml:space="preserve"> </w:t>
      </w:r>
      <w:r w:rsidRPr="00230E49">
        <w:rPr>
          <w:rFonts w:eastAsia="Calibri" w:cs="Arial"/>
          <w:szCs w:val="20"/>
          <w:lang w:val="en-GB"/>
        </w:rPr>
        <w:t>which corresponds to time when UE</w:t>
      </w:r>
      <w:r>
        <w:rPr>
          <w:rFonts w:eastAsia="Calibri" w:cs="Arial"/>
          <w:szCs w:val="20"/>
          <w:lang w:val="en-GB"/>
        </w:rPr>
        <w:t xml:space="preserve"> </w:t>
      </w:r>
      <w:r w:rsidRPr="00230E49">
        <w:rPr>
          <w:rFonts w:cs="Arial"/>
          <w:szCs w:val="20"/>
          <w:lang w:val="en-GB"/>
        </w:rPr>
        <w:t>receives latest TAC from network</w:t>
      </w:r>
      <w:r>
        <w:rPr>
          <w:rFonts w:cs="Arial"/>
          <w:szCs w:val="20"/>
          <w:lang w:val="en-GB"/>
        </w:rPr>
        <w:t xml:space="preserve">, followed by that </w:t>
      </w:r>
      <w:r w:rsidRPr="00230E49">
        <w:rPr>
          <w:rFonts w:cs="Arial"/>
          <w:szCs w:val="20"/>
          <w:lang w:val="en-GB"/>
        </w:rPr>
        <w:t xml:space="preserve">UE determines received </w:t>
      </w:r>
      <w:r>
        <w:rPr>
          <w:rFonts w:cs="Arial"/>
          <w:szCs w:val="20"/>
          <w:lang w:val="en-GB"/>
        </w:rPr>
        <w:t xml:space="preserve">downlink </w:t>
      </w:r>
      <w:r w:rsidRPr="00230E49">
        <w:rPr>
          <w:rFonts w:cs="Arial"/>
          <w:szCs w:val="20"/>
          <w:lang w:val="en-GB"/>
        </w:rPr>
        <w:t>timing (</w:t>
      </w:r>
      <m:oMath>
        <m:sSub>
          <m:sSubPr>
            <m:ctrlPr>
              <w:rPr>
                <w:rFonts w:ascii="Cambria Math" w:hAnsi="Cambria Math" w:cs="Arial"/>
                <w:i/>
                <w:szCs w:val="20"/>
                <w:lang w:val="en-GB"/>
              </w:rPr>
            </m:ctrlPr>
          </m:sSubPr>
          <m:e>
            <m:r>
              <w:rPr>
                <w:rFonts w:ascii="Cambria Math" w:hAnsi="Cambria Math" w:cs="Arial"/>
                <w:szCs w:val="20"/>
                <w:lang w:val="en-GB"/>
              </w:rPr>
              <m:t>t</m:t>
            </m:r>
          </m:e>
          <m:sub>
            <m:r>
              <w:rPr>
                <w:rFonts w:ascii="Cambria Math" w:hAnsi="Cambria Math" w:cs="Arial"/>
                <w:szCs w:val="20"/>
                <w:lang w:val="en-GB"/>
              </w:rPr>
              <m:t>SSB1</m:t>
            </m:r>
          </m:sub>
        </m:sSub>
      </m:oMath>
      <w:r w:rsidRPr="00230E49">
        <w:rPr>
          <w:rFonts w:cs="Arial"/>
          <w:szCs w:val="20"/>
          <w:lang w:val="en-GB"/>
        </w:rPr>
        <w:t>) of the strongest beam (</w:t>
      </w:r>
      <m:oMath>
        <m:r>
          <w:rPr>
            <w:rFonts w:ascii="Cambria Math" w:hAnsi="Cambria Math" w:cs="Arial"/>
            <w:szCs w:val="20"/>
            <w:lang w:val="en-GB"/>
          </w:rPr>
          <m:t>SSB1</m:t>
        </m:r>
      </m:oMath>
      <w:r w:rsidRPr="00230E49">
        <w:rPr>
          <w:rFonts w:cs="Arial"/>
          <w:szCs w:val="20"/>
          <w:lang w:val="en-GB"/>
        </w:rPr>
        <w:t xml:space="preserve">) at time </w:t>
      </w:r>
      <m:oMath>
        <m:sSub>
          <m:sSubPr>
            <m:ctrlPr>
              <w:rPr>
                <w:rFonts w:ascii="Cambria Math" w:hAnsi="Cambria Math" w:cs="Arial"/>
                <w:i/>
                <w:szCs w:val="20"/>
                <w:lang w:val="en-GB"/>
              </w:rPr>
            </m:ctrlPr>
          </m:sSubPr>
          <m:e>
            <m:r>
              <w:rPr>
                <w:rFonts w:ascii="Cambria Math" w:hAnsi="Cambria Math" w:cs="Arial"/>
                <w:szCs w:val="20"/>
                <w:lang w:val="en-GB"/>
              </w:rPr>
              <m:t>t</m:t>
            </m:r>
          </m:e>
          <m:sub>
            <m:r>
              <w:rPr>
                <w:rFonts w:ascii="Cambria Math" w:hAnsi="Cambria Math" w:cs="Arial"/>
                <w:szCs w:val="20"/>
                <w:lang w:val="en-GB"/>
              </w:rPr>
              <m:t>2</m:t>
            </m:r>
          </m:sub>
        </m:sSub>
      </m:oMath>
      <w:r w:rsidRPr="00230E49">
        <w:rPr>
          <w:rFonts w:cs="Arial"/>
          <w:szCs w:val="20"/>
          <w:lang w:val="en-GB"/>
        </w:rPr>
        <w:t xml:space="preserve"> which corresponds to time when UE </w:t>
      </w:r>
      <w:r w:rsidRPr="00230E49">
        <w:rPr>
          <w:rFonts w:eastAsia="Calibri" w:cs="Arial"/>
          <w:szCs w:val="20"/>
          <w:lang w:val="en-GB"/>
        </w:rPr>
        <w:t xml:space="preserve">receives </w:t>
      </w:r>
      <w:r w:rsidRPr="00230E49">
        <w:rPr>
          <w:rFonts w:cs="Arial"/>
          <w:szCs w:val="20"/>
          <w:lang w:val="en-GB"/>
        </w:rPr>
        <w:t>latest SSB selected for CG PUSCH transmission</w:t>
      </w:r>
      <w:r>
        <w:rPr>
          <w:rFonts w:cs="Arial"/>
          <w:szCs w:val="20"/>
          <w:lang w:val="en-GB"/>
        </w:rPr>
        <w:t>. Then t</w:t>
      </w:r>
      <w:r w:rsidRPr="00230E49">
        <w:rPr>
          <w:rFonts w:cs="Arial"/>
          <w:szCs w:val="20"/>
          <w:lang w:val="en-GB"/>
        </w:rPr>
        <w:t xml:space="preserve">he difference between </w:t>
      </w:r>
      <m:oMath>
        <m:sSub>
          <m:sSubPr>
            <m:ctrlPr>
              <w:rPr>
                <w:rFonts w:ascii="Cambria Math" w:hAnsi="Cambria Math" w:cs="Arial"/>
                <w:i/>
                <w:szCs w:val="20"/>
                <w:lang w:val="en-GB"/>
              </w:rPr>
            </m:ctrlPr>
          </m:sSubPr>
          <m:e>
            <m:r>
              <w:rPr>
                <w:rFonts w:ascii="Cambria Math" w:hAnsi="Cambria Math" w:cs="Arial"/>
                <w:szCs w:val="20"/>
                <w:lang w:val="en-GB"/>
              </w:rPr>
              <m:t>t</m:t>
            </m:r>
          </m:e>
          <m:sub>
            <m:r>
              <w:rPr>
                <w:rFonts w:ascii="Cambria Math" w:hAnsi="Cambria Math" w:cs="Arial"/>
                <w:szCs w:val="20"/>
                <w:lang w:val="en-GB"/>
              </w:rPr>
              <m:t>SSB1</m:t>
            </m:r>
          </m:sub>
        </m:sSub>
      </m:oMath>
      <w:r w:rsidRPr="00230E49">
        <w:rPr>
          <w:rFonts w:eastAsiaTheme="minorEastAsia" w:cs="Arial"/>
          <w:szCs w:val="20"/>
          <w:lang w:val="en-GB"/>
        </w:rPr>
        <w:t xml:space="preserve">and </w:t>
      </w:r>
      <m:oMath>
        <m:sSub>
          <m:sSubPr>
            <m:ctrlPr>
              <w:rPr>
                <w:rFonts w:ascii="Cambria Math" w:hAnsi="Cambria Math" w:cs="Arial"/>
                <w:i/>
                <w:szCs w:val="20"/>
                <w:lang w:val="en-GB"/>
              </w:rPr>
            </m:ctrlPr>
          </m:sSubPr>
          <m:e>
            <m:r>
              <w:rPr>
                <w:rFonts w:ascii="Cambria Math" w:hAnsi="Cambria Math" w:cs="Arial"/>
                <w:szCs w:val="20"/>
                <w:lang w:val="en-GB"/>
              </w:rPr>
              <m:t>t</m:t>
            </m:r>
          </m:e>
          <m:sub>
            <m:r>
              <w:rPr>
                <w:rFonts w:ascii="Cambria Math" w:hAnsi="Cambria Math" w:cs="Arial"/>
                <w:szCs w:val="20"/>
                <w:lang w:val="en-GB"/>
              </w:rPr>
              <m:t>SSB0</m:t>
            </m:r>
          </m:sub>
        </m:sSub>
      </m:oMath>
      <w:r w:rsidRPr="00230E49">
        <w:rPr>
          <w:rFonts w:eastAsiaTheme="minorEastAsia" w:cs="Arial"/>
          <w:szCs w:val="20"/>
          <w:lang w:val="en-GB"/>
        </w:rPr>
        <w:t xml:space="preserve"> is the TDOA used for TA validation.</w:t>
      </w:r>
    </w:p>
    <w:p w14:paraId="0F0B103A" w14:textId="77777777" w:rsidR="00E05EF4" w:rsidRDefault="00E05EF4" w:rsidP="00E05EF4">
      <w:pPr>
        <w:pStyle w:val="BodyText"/>
        <w:jc w:val="center"/>
      </w:pPr>
      <w:r>
        <w:rPr>
          <w:noProof/>
        </w:rPr>
        <w:drawing>
          <wp:inline distT="0" distB="0" distL="0" distR="0" wp14:anchorId="7AFAB022" wp14:editId="0F5C49DB">
            <wp:extent cx="2942179" cy="21844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3312" cy="2244637"/>
                    </a:xfrm>
                    <a:prstGeom prst="rect">
                      <a:avLst/>
                    </a:prstGeom>
                    <a:noFill/>
                  </pic:spPr>
                </pic:pic>
              </a:graphicData>
            </a:graphic>
          </wp:inline>
        </w:drawing>
      </w:r>
    </w:p>
    <w:p w14:paraId="367A3CF0" w14:textId="77777777" w:rsidR="00E05EF4" w:rsidRDefault="00E05EF4" w:rsidP="00CB5CDC">
      <w:pPr>
        <w:pStyle w:val="Figure"/>
        <w:spacing w:before="120" w:after="240"/>
        <w:rPr>
          <w:lang w:val="en-GB"/>
        </w:rPr>
      </w:pPr>
      <w:r>
        <w:rPr>
          <w:lang w:val="en-GB"/>
        </w:rPr>
        <w:lastRenderedPageBreak/>
        <w:t xml:space="preserve">Figure 3: </w:t>
      </w:r>
      <w:r w:rsidRPr="00271900">
        <w:rPr>
          <w:rFonts w:hint="eastAsia"/>
          <w:lang w:val="en-GB"/>
        </w:rPr>
        <w:t>TD</w:t>
      </w:r>
      <w:r>
        <w:rPr>
          <w:lang w:val="en-GB"/>
        </w:rPr>
        <w:t>OA based TA validation</w:t>
      </w:r>
    </w:p>
    <w:p w14:paraId="0A80A20D" w14:textId="46BCF49E" w:rsidR="00E05EF4" w:rsidRPr="00D54C59" w:rsidRDefault="00E05EF4" w:rsidP="00E05EF4">
      <w:pPr>
        <w:pStyle w:val="BodyText"/>
        <w:rPr>
          <w:rStyle w:val="BodyTextChar"/>
        </w:rPr>
      </w:pPr>
      <w:r w:rsidRPr="00230E49">
        <w:t xml:space="preserve">Compared to RSRP change based TA validation, this timing difference (TDOA) based </w:t>
      </w:r>
      <w:r>
        <w:t>TA validation</w:t>
      </w:r>
      <w:r w:rsidRPr="00230E49">
        <w:t xml:space="preserve"> is more reliable, </w:t>
      </w:r>
      <w:r w:rsidR="00193CCC">
        <w:rPr>
          <w:rStyle w:val="BodyTextChar"/>
        </w:rPr>
        <w:t>since</w:t>
      </w:r>
      <w:r w:rsidR="00193CCC" w:rsidRPr="00230E49">
        <w:rPr>
          <w:rStyle w:val="BodyTextChar"/>
        </w:rPr>
        <w:t xml:space="preserve"> TDOA (based on first detected path) better reflects actual change in propagation delay than RSRP</w:t>
      </w:r>
      <w:r w:rsidR="004A2419">
        <w:rPr>
          <w:rStyle w:val="BodyTextChar"/>
        </w:rPr>
        <w:t xml:space="preserve"> and a</w:t>
      </w:r>
      <w:r w:rsidR="00193CCC" w:rsidRPr="00230E49">
        <w:rPr>
          <w:rStyle w:val="BodyTextChar"/>
        </w:rPr>
        <w:t>bsolute RSRP accuracy is very large (section 10.1.2/10.1.3 in TS 38.133).</w:t>
      </w:r>
      <w:r w:rsidR="00193CCC">
        <w:rPr>
          <w:rStyle w:val="BodyTextChar"/>
        </w:rPr>
        <w:t xml:space="preserve"> Furthermore, TDOA based TA validation may be </w:t>
      </w:r>
      <w:r w:rsidRPr="00230E49">
        <w:t xml:space="preserve">less complex and more power efficient as it’s based on the timing detection of downlink reference signals. Power efficient </w:t>
      </w:r>
      <w:r w:rsidRPr="00D54C59">
        <w:rPr>
          <w:rStyle w:val="BodyTextChar"/>
        </w:rPr>
        <w:t xml:space="preserve">is crucial for the UE which are going to apply SDT in practice, examples of such devices can be wearables, sensors etc. By applying TA validation based on received beam timing change, the UE does not have to perform dedicated RSRP measurements of </w:t>
      </w:r>
      <w:r w:rsidR="00446B2A">
        <w:rPr>
          <w:rStyle w:val="BodyTextChar"/>
        </w:rPr>
        <w:t xml:space="preserve">all </w:t>
      </w:r>
      <w:r w:rsidRPr="00D54C59">
        <w:rPr>
          <w:rStyle w:val="BodyTextChar"/>
        </w:rPr>
        <w:t>the beams configured for SDT, which makes the process both faster and power efficient</w:t>
      </w:r>
      <w:r w:rsidRPr="00E205C0">
        <w:rPr>
          <w:rStyle w:val="BodyTextChar"/>
        </w:rPr>
        <w:t xml:space="preserve">. </w:t>
      </w:r>
    </w:p>
    <w:p w14:paraId="3064B90C" w14:textId="3870D6CE" w:rsidR="00E05EF4" w:rsidRDefault="00E05EF4" w:rsidP="00E94DBB">
      <w:pPr>
        <w:jc w:val="both"/>
        <w:rPr>
          <w:rStyle w:val="BodyTextChar"/>
        </w:rPr>
      </w:pPr>
      <w:r w:rsidRPr="005B26C1">
        <w:rPr>
          <w:rStyle w:val="BodyTextChar"/>
        </w:rPr>
        <w:t>We see an advantage in configur</w:t>
      </w:r>
      <w:r w:rsidRPr="00832118">
        <w:rPr>
          <w:rStyle w:val="BodyTextChar"/>
        </w:rPr>
        <w:t xml:space="preserve">ing the UE with </w:t>
      </w:r>
      <w:r w:rsidRPr="00EE4CD2">
        <w:rPr>
          <w:rStyle w:val="BodyTextChar"/>
        </w:rPr>
        <w:t xml:space="preserve">both methods </w:t>
      </w:r>
      <w:r w:rsidRPr="00FA14E9">
        <w:rPr>
          <w:rStyle w:val="BodyTextChar"/>
        </w:rPr>
        <w:t xml:space="preserve">(RSRP based and </w:t>
      </w:r>
      <w:r w:rsidRPr="001A6462">
        <w:rPr>
          <w:rStyle w:val="BodyTextChar"/>
        </w:rPr>
        <w:t>TDOA based)</w:t>
      </w:r>
      <w:r w:rsidRPr="00D92766">
        <w:rPr>
          <w:rStyle w:val="BodyTextChar"/>
        </w:rPr>
        <w:t xml:space="preserve"> </w:t>
      </w:r>
      <w:r w:rsidRPr="00144A34">
        <w:rPr>
          <w:rStyle w:val="BodyTextChar"/>
        </w:rPr>
        <w:t xml:space="preserve">for validating the TA. The main advantage is that it </w:t>
      </w:r>
      <w:proofErr w:type="spellStart"/>
      <w:r w:rsidRPr="00144A34">
        <w:rPr>
          <w:rStyle w:val="BodyTextChar"/>
        </w:rPr>
        <w:t>it</w:t>
      </w:r>
      <w:proofErr w:type="spellEnd"/>
      <w:r w:rsidRPr="00144A34">
        <w:rPr>
          <w:rStyle w:val="BodyTextChar"/>
        </w:rPr>
        <w:t xml:space="preserve"> makes the TA validation more reliable as it takes into account whether UE has performed any beam changes and also the direction of the</w:t>
      </w:r>
      <w:r w:rsidRPr="00230E49">
        <w:rPr>
          <w:rStyle w:val="BodyTextChar"/>
        </w:rPr>
        <w:t xml:space="preserve"> movement (e.g. if UE is moving towards or away from the </w:t>
      </w:r>
      <w:proofErr w:type="spellStart"/>
      <w:r w:rsidRPr="00230E49">
        <w:rPr>
          <w:rStyle w:val="BodyTextChar"/>
        </w:rPr>
        <w:t>gNB</w:t>
      </w:r>
      <w:proofErr w:type="spellEnd"/>
      <w:r w:rsidRPr="00230E49">
        <w:rPr>
          <w:rStyle w:val="BodyTextChar"/>
        </w:rPr>
        <w:t xml:space="preserve"> or moving in a circular fashion). Another option is to configure the UE with both methods and selecting one based on the mobility conditions, e.g. based on w</w:t>
      </w:r>
      <w:r>
        <w:rPr>
          <w:rStyle w:val="BodyTextChar"/>
        </w:rPr>
        <w:t>h</w:t>
      </w:r>
      <w:r w:rsidRPr="00230E49">
        <w:rPr>
          <w:rStyle w:val="BodyTextChar"/>
        </w:rPr>
        <w:t>e</w:t>
      </w:r>
      <w:r>
        <w:rPr>
          <w:rStyle w:val="BodyTextChar"/>
        </w:rPr>
        <w:t>t</w:t>
      </w:r>
      <w:r w:rsidRPr="00230E49">
        <w:rPr>
          <w:rStyle w:val="BodyTextChar"/>
        </w:rPr>
        <w:t xml:space="preserve">her or not it has performed any beam change. Since TDOA based </w:t>
      </w:r>
      <w:r>
        <w:rPr>
          <w:rStyle w:val="BodyTextChar"/>
        </w:rPr>
        <w:t>TA validation</w:t>
      </w:r>
      <w:r w:rsidRPr="00230E49">
        <w:rPr>
          <w:rStyle w:val="BodyTextChar"/>
        </w:rPr>
        <w:t xml:space="preserve"> is expected to be more accurate, it can be used within a beam while RSRP can be used when beam change has been performed.</w:t>
      </w:r>
    </w:p>
    <w:p w14:paraId="7B3FED10" w14:textId="35084717" w:rsidR="00EC4710" w:rsidRPr="00755263" w:rsidRDefault="00EC4710" w:rsidP="00E05EF4">
      <w:pPr>
        <w:pStyle w:val="BodyText"/>
      </w:pPr>
      <w:r>
        <w:rPr>
          <w:rStyle w:val="BodyTextChar"/>
        </w:rPr>
        <w:t>According to above, we have following proposal.</w:t>
      </w:r>
    </w:p>
    <w:p w14:paraId="0602E484" w14:textId="51C317B9" w:rsidR="00E05EF4" w:rsidRPr="00E94DBB" w:rsidRDefault="00E05EF4" w:rsidP="008A0C7B">
      <w:pPr>
        <w:pStyle w:val="Proposal"/>
      </w:pPr>
      <w:bookmarkStart w:id="37" w:name="_Toc68624326"/>
      <w:r w:rsidRPr="00FC732D">
        <w:rPr>
          <w:rFonts w:cs="Arial"/>
          <w:color w:val="000000"/>
        </w:rPr>
        <w:t xml:space="preserve">On top of the TA validation based on RSRP change, </w:t>
      </w:r>
      <w:r>
        <w:rPr>
          <w:rFonts w:cs="Arial"/>
          <w:color w:val="000000"/>
        </w:rPr>
        <w:t xml:space="preserve">support </w:t>
      </w:r>
      <w:r w:rsidRPr="00FC732D">
        <w:rPr>
          <w:rFonts w:cs="Arial"/>
          <w:color w:val="000000"/>
        </w:rPr>
        <w:t xml:space="preserve">TDOA based </w:t>
      </w:r>
      <w:proofErr w:type="spellStart"/>
      <w:r w:rsidRPr="00FC732D">
        <w:rPr>
          <w:rFonts w:cs="Arial"/>
          <w:color w:val="000000"/>
        </w:rPr>
        <w:t>crieterial</w:t>
      </w:r>
      <w:proofErr w:type="spellEnd"/>
      <w:r w:rsidRPr="00FC732D">
        <w:rPr>
          <w:rFonts w:cs="Arial"/>
          <w:color w:val="000000"/>
        </w:rPr>
        <w:t xml:space="preserve"> </w:t>
      </w:r>
      <w:r>
        <w:rPr>
          <w:rFonts w:cs="Arial"/>
          <w:color w:val="000000"/>
        </w:rPr>
        <w:t>for TA validation in CG based SDT.</w:t>
      </w:r>
      <w:bookmarkEnd w:id="37"/>
    </w:p>
    <w:p w14:paraId="715CA09B" w14:textId="050FF5AD" w:rsidR="003A7EF3" w:rsidRDefault="00A92264" w:rsidP="00A92264">
      <w:pPr>
        <w:pStyle w:val="Heading1"/>
        <w:ind w:left="0" w:firstLine="0"/>
      </w:pPr>
      <w:r>
        <w:t>Conclusion</w:t>
      </w:r>
    </w:p>
    <w:p w14:paraId="23118AE5" w14:textId="1E0C2A25" w:rsidR="00CE46BE" w:rsidRDefault="00A92264" w:rsidP="005B4125">
      <w:pPr>
        <w:pStyle w:val="BodyText"/>
      </w:pPr>
      <w:r w:rsidRPr="00CE0424">
        <w:t xml:space="preserve">Based on the discussion in </w:t>
      </w:r>
      <w:r>
        <w:t xml:space="preserve">the previous </w:t>
      </w:r>
      <w:r w:rsidRPr="00CE0424">
        <w:t>section</w:t>
      </w:r>
      <w:r>
        <w:t>s</w:t>
      </w:r>
      <w:r w:rsidRPr="00CE0424">
        <w:t xml:space="preserve"> </w:t>
      </w:r>
      <w:r w:rsidR="00A10581">
        <w:t>we have following observations and proposals:</w:t>
      </w:r>
    </w:p>
    <w:p w14:paraId="615BAF27" w14:textId="60B3040D" w:rsidR="003C3582" w:rsidRPr="00CF6E10" w:rsidRDefault="009C3BE4" w:rsidP="0058357A">
      <w:pPr>
        <w:pStyle w:val="BodyText"/>
        <w:rPr>
          <w:b/>
          <w:bCs/>
        </w:rPr>
      </w:pPr>
      <w:r>
        <w:rPr>
          <w:b/>
          <w:bCs/>
        </w:rPr>
        <w:fldChar w:fldCharType="begin"/>
      </w:r>
      <w:r>
        <w:rPr>
          <w:b/>
          <w:bCs/>
        </w:rPr>
        <w:instrText xml:space="preserve"> REF  _Ref68171294 \h \w </w:instrText>
      </w:r>
      <w:r w:rsidR="001D00BC">
        <w:rPr>
          <w:b/>
          <w:bCs/>
        </w:rPr>
        <w:instrText xml:space="preserve"> \* MERGEFORMAT </w:instrText>
      </w:r>
      <w:r>
        <w:rPr>
          <w:b/>
          <w:bCs/>
        </w:rPr>
      </w:r>
      <w:r>
        <w:rPr>
          <w:b/>
          <w:bCs/>
        </w:rPr>
        <w:fldChar w:fldCharType="separate"/>
      </w:r>
      <w:r w:rsidR="0058357A">
        <w:rPr>
          <w:b/>
          <w:bCs/>
        </w:rPr>
        <w:t>Observation 1</w:t>
      </w:r>
      <w:r>
        <w:rPr>
          <w:b/>
          <w:bCs/>
        </w:rPr>
        <w:fldChar w:fldCharType="end"/>
      </w:r>
      <w:r w:rsidR="004A7A71" w:rsidRPr="00CF6E10">
        <w:rPr>
          <w:b/>
          <w:bCs/>
        </w:rPr>
        <w:tab/>
      </w:r>
      <w:r w:rsidR="004A7A71" w:rsidRPr="00CF6E10">
        <w:rPr>
          <w:b/>
          <w:bCs/>
        </w:rPr>
        <w:fldChar w:fldCharType="begin"/>
      </w:r>
      <w:r w:rsidR="004A7A71" w:rsidRPr="00CF6E10">
        <w:rPr>
          <w:b/>
          <w:bCs/>
        </w:rPr>
        <w:instrText xml:space="preserve"> REF _Ref68171294 \h </w:instrText>
      </w:r>
      <w:r w:rsidR="00CF6E10">
        <w:rPr>
          <w:b/>
          <w:bCs/>
        </w:rPr>
        <w:instrText xml:space="preserve"> \* MERGEFORMAT </w:instrText>
      </w:r>
      <w:r w:rsidR="004A7A71" w:rsidRPr="00CF6E10">
        <w:rPr>
          <w:b/>
          <w:bCs/>
        </w:rPr>
      </w:r>
      <w:r w:rsidR="004A7A71" w:rsidRPr="00CF6E10">
        <w:rPr>
          <w:b/>
          <w:bCs/>
        </w:rPr>
        <w:fldChar w:fldCharType="separate"/>
      </w:r>
      <w:r w:rsidR="0058357A" w:rsidRPr="0058357A">
        <w:rPr>
          <w:b/>
          <w:bCs/>
          <w:lang w:val="en-GB"/>
        </w:rPr>
        <w:t>RSRP change based on single SSB may not reflect whether TA is changing in NR.</w:t>
      </w:r>
      <w:r w:rsidR="004A7A71" w:rsidRPr="00CF6E10">
        <w:rPr>
          <w:b/>
          <w:bCs/>
        </w:rPr>
        <w:fldChar w:fldCharType="end"/>
      </w:r>
    </w:p>
    <w:p w14:paraId="383292DC" w14:textId="0738DC70" w:rsidR="004A7A71" w:rsidRDefault="004A7A71" w:rsidP="0058357A">
      <w:pPr>
        <w:pStyle w:val="BodyText"/>
      </w:pPr>
    </w:p>
    <w:p w14:paraId="38C802A7" w14:textId="77777777" w:rsidR="0058357A" w:rsidRDefault="00A92264" w:rsidP="0058357A">
      <w:pPr>
        <w:pStyle w:val="TableofFigures"/>
        <w:tabs>
          <w:tab w:val="right" w:leader="dot" w:pos="9629"/>
        </w:tabs>
        <w:jc w:val="both"/>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68624322" w:history="1">
        <w:r w:rsidR="0058357A" w:rsidRPr="00A83F14">
          <w:rPr>
            <w:rStyle w:val="Hyperlink"/>
            <w:noProof/>
          </w:rPr>
          <w:t>Proposal 1</w:t>
        </w:r>
        <w:r w:rsidR="0058357A">
          <w:rPr>
            <w:rFonts w:asciiTheme="minorHAnsi" w:eastAsiaTheme="minorEastAsia" w:hAnsiTheme="minorHAnsi"/>
            <w:b w:val="0"/>
            <w:noProof/>
            <w:sz w:val="22"/>
          </w:rPr>
          <w:tab/>
        </w:r>
        <w:r w:rsidR="0058357A" w:rsidRPr="00A83F14">
          <w:rPr>
            <w:rStyle w:val="Hyperlink"/>
            <w:noProof/>
          </w:rPr>
          <w:t>Option 1 is used for the mapping between SSB to CG PUSCH.</w:t>
        </w:r>
      </w:hyperlink>
    </w:p>
    <w:p w14:paraId="6C1A94A9" w14:textId="77777777" w:rsidR="0058357A" w:rsidRDefault="00B373F9" w:rsidP="0058357A">
      <w:pPr>
        <w:pStyle w:val="TableofFigures"/>
        <w:tabs>
          <w:tab w:val="right" w:leader="dot" w:pos="9629"/>
        </w:tabs>
        <w:jc w:val="both"/>
        <w:rPr>
          <w:rFonts w:asciiTheme="minorHAnsi" w:eastAsiaTheme="minorEastAsia" w:hAnsiTheme="minorHAnsi"/>
          <w:b w:val="0"/>
          <w:noProof/>
          <w:sz w:val="22"/>
        </w:rPr>
      </w:pPr>
      <w:hyperlink w:anchor="_Toc68624323" w:history="1">
        <w:r w:rsidR="0058357A" w:rsidRPr="00A83F14">
          <w:rPr>
            <w:rStyle w:val="Hyperlink"/>
            <w:noProof/>
          </w:rPr>
          <w:t>Proposal 2</w:t>
        </w:r>
        <w:r w:rsidR="0058357A">
          <w:rPr>
            <w:rFonts w:asciiTheme="minorHAnsi" w:eastAsiaTheme="minorEastAsia" w:hAnsiTheme="minorHAnsi"/>
            <w:b w:val="0"/>
            <w:noProof/>
            <w:sz w:val="22"/>
          </w:rPr>
          <w:tab/>
        </w:r>
        <w:r w:rsidR="0058357A" w:rsidRPr="00A83F14">
          <w:rPr>
            <w:rStyle w:val="Hyperlink"/>
            <w:noProof/>
          </w:rPr>
          <w:t>Further discuss whether different subset of SSBs should be mapped to different CG PUSCH configurations.</w:t>
        </w:r>
      </w:hyperlink>
    </w:p>
    <w:p w14:paraId="52C608FC" w14:textId="77777777" w:rsidR="0058357A" w:rsidRDefault="00B373F9" w:rsidP="0058357A">
      <w:pPr>
        <w:pStyle w:val="TableofFigures"/>
        <w:tabs>
          <w:tab w:val="right" w:leader="dot" w:pos="9629"/>
        </w:tabs>
        <w:jc w:val="both"/>
        <w:rPr>
          <w:rFonts w:asciiTheme="minorHAnsi" w:eastAsiaTheme="minorEastAsia" w:hAnsiTheme="minorHAnsi"/>
          <w:b w:val="0"/>
          <w:noProof/>
          <w:sz w:val="22"/>
        </w:rPr>
      </w:pPr>
      <w:hyperlink w:anchor="_Toc68624324" w:history="1">
        <w:r w:rsidR="0058357A" w:rsidRPr="00A83F14">
          <w:rPr>
            <w:rStyle w:val="Hyperlink"/>
            <w:rFonts w:cs="Arial"/>
            <w:noProof/>
          </w:rPr>
          <w:t>Proposal 3</w:t>
        </w:r>
        <w:r w:rsidR="0058357A">
          <w:rPr>
            <w:rFonts w:asciiTheme="minorHAnsi" w:eastAsiaTheme="minorEastAsia" w:hAnsiTheme="minorHAnsi"/>
            <w:b w:val="0"/>
            <w:noProof/>
            <w:sz w:val="22"/>
          </w:rPr>
          <w:tab/>
        </w:r>
        <w:r w:rsidR="0058357A" w:rsidRPr="00A83F14">
          <w:rPr>
            <w:rStyle w:val="Hyperlink"/>
            <w:rFonts w:cs="Arial"/>
            <w:noProof/>
          </w:rPr>
          <w:t>Use RSRP measurement on a set of SSBs per CG PUSCH configuration to derive an RSRP change for TA validation in CG based SDT, and the set of SSBs can be determined based on an absolute RSRP criterial with an absolute RSRP threshold configured for TA validation.</w:t>
        </w:r>
      </w:hyperlink>
    </w:p>
    <w:p w14:paraId="1253937A" w14:textId="77777777" w:rsidR="0058357A" w:rsidRDefault="00B373F9" w:rsidP="0058357A">
      <w:pPr>
        <w:pStyle w:val="TableofFigures"/>
        <w:tabs>
          <w:tab w:val="right" w:leader="dot" w:pos="9629"/>
        </w:tabs>
        <w:jc w:val="both"/>
        <w:rPr>
          <w:rFonts w:asciiTheme="minorHAnsi" w:eastAsiaTheme="minorEastAsia" w:hAnsiTheme="minorHAnsi"/>
          <w:b w:val="0"/>
          <w:noProof/>
          <w:sz w:val="22"/>
        </w:rPr>
      </w:pPr>
      <w:hyperlink w:anchor="_Toc68624325" w:history="1">
        <w:r w:rsidR="0058357A" w:rsidRPr="00A83F14">
          <w:rPr>
            <w:rStyle w:val="Hyperlink"/>
            <w:noProof/>
          </w:rPr>
          <w:t>Proposal 4</w:t>
        </w:r>
        <w:r w:rsidR="0058357A">
          <w:rPr>
            <w:rFonts w:asciiTheme="minorHAnsi" w:eastAsiaTheme="minorEastAsia" w:hAnsiTheme="minorHAnsi"/>
            <w:b w:val="0"/>
            <w:noProof/>
            <w:sz w:val="22"/>
          </w:rPr>
          <w:tab/>
        </w:r>
        <w:r w:rsidR="0058357A" w:rsidRPr="00A83F14">
          <w:rPr>
            <w:rStyle w:val="Hyperlink"/>
            <w:rFonts w:cs="Arial"/>
            <w:noProof/>
          </w:rPr>
          <w:t>Different RSRP variation thresholds and TAT configuations can be configured for different sets of SSBs with different beam width which can be e.g. in different CG PUSCH configuations.</w:t>
        </w:r>
      </w:hyperlink>
    </w:p>
    <w:p w14:paraId="2B4D6053" w14:textId="77777777" w:rsidR="0058357A" w:rsidRDefault="00B373F9" w:rsidP="0058357A">
      <w:pPr>
        <w:pStyle w:val="TableofFigures"/>
        <w:tabs>
          <w:tab w:val="right" w:leader="dot" w:pos="9629"/>
        </w:tabs>
        <w:jc w:val="both"/>
        <w:rPr>
          <w:rFonts w:asciiTheme="minorHAnsi" w:eastAsiaTheme="minorEastAsia" w:hAnsiTheme="minorHAnsi"/>
          <w:b w:val="0"/>
          <w:noProof/>
          <w:sz w:val="22"/>
        </w:rPr>
      </w:pPr>
      <w:hyperlink w:anchor="_Toc68624326" w:history="1">
        <w:r w:rsidR="0058357A" w:rsidRPr="00A83F14">
          <w:rPr>
            <w:rStyle w:val="Hyperlink"/>
            <w:noProof/>
          </w:rPr>
          <w:t>Proposal 5</w:t>
        </w:r>
        <w:r w:rsidR="0058357A">
          <w:rPr>
            <w:rFonts w:asciiTheme="minorHAnsi" w:eastAsiaTheme="minorEastAsia" w:hAnsiTheme="minorHAnsi"/>
            <w:b w:val="0"/>
            <w:noProof/>
            <w:sz w:val="22"/>
          </w:rPr>
          <w:tab/>
        </w:r>
        <w:r w:rsidR="0058357A" w:rsidRPr="00A83F14">
          <w:rPr>
            <w:rStyle w:val="Hyperlink"/>
            <w:rFonts w:cs="Arial"/>
            <w:noProof/>
          </w:rPr>
          <w:t>On top of the TA validation based on RSRP change, support TDOA based crieterial for TA validation in CG based SDT.</w:t>
        </w:r>
      </w:hyperlink>
    </w:p>
    <w:p w14:paraId="5050A0A6" w14:textId="5275220C" w:rsidR="00A92264" w:rsidRDefault="00A92264" w:rsidP="0058357A">
      <w:pPr>
        <w:jc w:val="both"/>
        <w:rPr>
          <w:b/>
          <w:bCs/>
        </w:rPr>
      </w:pPr>
      <w:r>
        <w:rPr>
          <w:b/>
          <w:bCs/>
        </w:rPr>
        <w:fldChar w:fldCharType="end"/>
      </w:r>
    </w:p>
    <w:p w14:paraId="0EB8BEDE" w14:textId="5EC0B29C" w:rsidR="00BF4EDD" w:rsidRDefault="00BF4EDD" w:rsidP="00BF4EDD">
      <w:pPr>
        <w:pStyle w:val="Heading1"/>
      </w:pPr>
      <w:r>
        <w:t>References</w:t>
      </w:r>
    </w:p>
    <w:p w14:paraId="0C36EF59" w14:textId="7C086B68" w:rsidR="00105DF8" w:rsidRDefault="00202889" w:rsidP="00105DF8">
      <w:pPr>
        <w:pStyle w:val="Reference"/>
      </w:pPr>
      <w:bookmarkStart w:id="38" w:name="_Ref53759078"/>
      <w:bookmarkStart w:id="39" w:name="_Ref174151459"/>
      <w:bookmarkStart w:id="40" w:name="_Ref189809556"/>
      <w:r w:rsidRPr="00202889">
        <w:t>R2-2010841</w:t>
      </w:r>
      <w:r w:rsidR="00105DF8">
        <w:t>, "</w:t>
      </w:r>
      <w:r w:rsidR="002235C4" w:rsidRPr="002235C4">
        <w:t>LS on physical layer aspects of small data transmission</w:t>
      </w:r>
      <w:r w:rsidR="00105DF8">
        <w:t>"</w:t>
      </w:r>
      <w:r w:rsidR="00BA7A66">
        <w:t xml:space="preserve">, </w:t>
      </w:r>
      <w:r w:rsidR="00105DF8">
        <w:t>RAN</w:t>
      </w:r>
      <w:r w:rsidR="00416B80">
        <w:t>2</w:t>
      </w:r>
      <w:r w:rsidR="00105DF8">
        <w:t>#1</w:t>
      </w:r>
      <w:r w:rsidR="00A85BBC">
        <w:t>1</w:t>
      </w:r>
      <w:r w:rsidR="00131E03">
        <w:t>2</w:t>
      </w:r>
      <w:r w:rsidR="00105DF8">
        <w:t xml:space="preserve">-e, </w:t>
      </w:r>
      <w:r w:rsidR="00771F52">
        <w:t>November</w:t>
      </w:r>
      <w:r w:rsidR="00105DF8">
        <w:t xml:space="preserve"> 202</w:t>
      </w:r>
      <w:r w:rsidR="001A3FE2">
        <w:t>0</w:t>
      </w:r>
      <w:r w:rsidR="00105DF8">
        <w:t>.</w:t>
      </w:r>
      <w:bookmarkEnd w:id="38"/>
    </w:p>
    <w:p w14:paraId="15EE3E38" w14:textId="4664E100" w:rsidR="00BA7A66" w:rsidRDefault="00BA7A66" w:rsidP="00105DF8">
      <w:pPr>
        <w:pStyle w:val="Reference"/>
      </w:pPr>
      <w:bookmarkStart w:id="41" w:name="_Ref68080855"/>
      <w:r>
        <w:t>R1</w:t>
      </w:r>
      <w:r w:rsidRPr="00BA7A66">
        <w:t>-2102125</w:t>
      </w:r>
      <w:r>
        <w:t>, “</w:t>
      </w:r>
      <w:r w:rsidRPr="00BA7A66">
        <w:t>Reply LS on physical layer aspects of small data transmission</w:t>
      </w:r>
      <w:r>
        <w:t xml:space="preserve">”, RAN1 #104-e, </w:t>
      </w:r>
      <w:r w:rsidRPr="00DD32A9">
        <w:t>25 January – 05 February 2021</w:t>
      </w:r>
      <w:r>
        <w:t>.</w:t>
      </w:r>
      <w:bookmarkEnd w:id="41"/>
    </w:p>
    <w:p w14:paraId="2190E470" w14:textId="7D123B30" w:rsidR="00BF4EDD" w:rsidRPr="008B0337" w:rsidRDefault="00307084" w:rsidP="00BF4EDD">
      <w:pPr>
        <w:pStyle w:val="Reference"/>
      </w:pPr>
      <w:bookmarkStart w:id="42" w:name="_Ref68080864"/>
      <w:r w:rsidRPr="00105DF8">
        <w:t>R</w:t>
      </w:r>
      <w:r w:rsidR="00371553">
        <w:t>2</w:t>
      </w:r>
      <w:r w:rsidRPr="00105DF8">
        <w:t>-</w:t>
      </w:r>
      <w:r w:rsidR="00371553" w:rsidRPr="00371553">
        <w:t>2102090</w:t>
      </w:r>
      <w:r>
        <w:t>, "</w:t>
      </w:r>
      <w:r w:rsidR="00610804" w:rsidRPr="00610804">
        <w:t>LS on uplink timing alignment for small data transmissions</w:t>
      </w:r>
      <w:r>
        <w:t>" RAN2#1</w:t>
      </w:r>
      <w:r w:rsidR="0021364B">
        <w:t>1</w:t>
      </w:r>
      <w:r>
        <w:t xml:space="preserve">3-e, </w:t>
      </w:r>
      <w:r w:rsidR="00DD32A9" w:rsidRPr="00DD32A9">
        <w:t>25 January – 05 February 2021</w:t>
      </w:r>
      <w:r>
        <w:t>.</w:t>
      </w:r>
      <w:bookmarkEnd w:id="39"/>
      <w:bookmarkEnd w:id="40"/>
      <w:bookmarkEnd w:id="42"/>
    </w:p>
    <w:sectPr w:rsidR="00BF4EDD" w:rsidRPr="008B0337"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E9A9D" w14:textId="77777777" w:rsidR="004C682C" w:rsidRDefault="004C682C">
      <w:r>
        <w:separator/>
      </w:r>
    </w:p>
  </w:endnote>
  <w:endnote w:type="continuationSeparator" w:id="0">
    <w:p w14:paraId="55270CF9" w14:textId="77777777" w:rsidR="004C682C" w:rsidRDefault="004C682C">
      <w:r>
        <w:continuationSeparator/>
      </w:r>
    </w:p>
  </w:endnote>
  <w:endnote w:type="continuationNotice" w:id="1">
    <w:p w14:paraId="14118C44" w14:textId="77777777" w:rsidR="004C682C" w:rsidRDefault="004C68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54DB2" w:rsidRDefault="00C54D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8CFE61" w14:textId="77777777" w:rsidR="004C682C" w:rsidRDefault="004C682C">
      <w:r>
        <w:separator/>
      </w:r>
    </w:p>
  </w:footnote>
  <w:footnote w:type="continuationSeparator" w:id="0">
    <w:p w14:paraId="61D6DFF3" w14:textId="77777777" w:rsidR="004C682C" w:rsidRDefault="004C682C">
      <w:r>
        <w:continuationSeparator/>
      </w:r>
    </w:p>
  </w:footnote>
  <w:footnote w:type="continuationNotice" w:id="1">
    <w:p w14:paraId="25946B77" w14:textId="77777777" w:rsidR="004C682C" w:rsidRDefault="004C68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54DB2" w:rsidRDefault="00C54D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25C9C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804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048A6"/>
    <w:multiLevelType w:val="hybridMultilevel"/>
    <w:tmpl w:val="A1443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71377B"/>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536876"/>
    <w:multiLevelType w:val="hybridMultilevel"/>
    <w:tmpl w:val="23C22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E234C"/>
    <w:multiLevelType w:val="hybridMultilevel"/>
    <w:tmpl w:val="9FA64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BBE0126"/>
    <w:multiLevelType w:val="hybridMultilevel"/>
    <w:tmpl w:val="9D10E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607B6A"/>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2C27D1"/>
    <w:multiLevelType w:val="hybridMultilevel"/>
    <w:tmpl w:val="E4B80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DF730A"/>
    <w:multiLevelType w:val="hybridMultilevel"/>
    <w:tmpl w:val="34A88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8CD41F5E"/>
    <w:lvl w:ilvl="0" w:tplc="E230EA6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DD39F8"/>
    <w:multiLevelType w:val="hybridMultilevel"/>
    <w:tmpl w:val="24F40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BD28A3"/>
    <w:multiLevelType w:val="hybridMultilevel"/>
    <w:tmpl w:val="7F881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6E6F23"/>
    <w:multiLevelType w:val="hybridMultilevel"/>
    <w:tmpl w:val="D7E4CF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AD76FD"/>
    <w:multiLevelType w:val="hybridMultilevel"/>
    <w:tmpl w:val="5DF29EA8"/>
    <w:lvl w:ilvl="0" w:tplc="D4D69520">
      <w:start w:val="5"/>
      <w:numFmt w:val="bullet"/>
      <w:lvlText w:val="•"/>
      <w:lvlJc w:val="left"/>
      <w:pPr>
        <w:ind w:left="930" w:hanging="57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24F0784"/>
    <w:multiLevelType w:val="hybridMultilevel"/>
    <w:tmpl w:val="A5C89DCC"/>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D3011C"/>
    <w:multiLevelType w:val="multilevel"/>
    <w:tmpl w:val="75D30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7"/>
  </w:num>
  <w:num w:numId="6">
    <w:abstractNumId w:val="23"/>
  </w:num>
  <w:num w:numId="7">
    <w:abstractNumId w:val="29"/>
  </w:num>
  <w:num w:numId="8">
    <w:abstractNumId w:val="18"/>
  </w:num>
  <w:num w:numId="9">
    <w:abstractNumId w:val="15"/>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2"/>
  </w:num>
  <w:num w:numId="17">
    <w:abstractNumId w:val="11"/>
  </w:num>
  <w:num w:numId="18">
    <w:abstractNumId w:val="13"/>
  </w:num>
  <w:num w:numId="19">
    <w:abstractNumId w:val="8"/>
  </w:num>
  <w:num w:numId="20">
    <w:abstractNumId w:val="38"/>
  </w:num>
  <w:num w:numId="21">
    <w:abstractNumId w:val="19"/>
  </w:num>
  <w:num w:numId="22">
    <w:abstractNumId w:val="36"/>
  </w:num>
  <w:num w:numId="23">
    <w:abstractNumId w:val="24"/>
  </w:num>
  <w:num w:numId="24">
    <w:abstractNumId w:val="39"/>
  </w:num>
  <w:num w:numId="25">
    <w:abstractNumId w:val="33"/>
  </w:num>
  <w:num w:numId="26">
    <w:abstractNumId w:val="37"/>
  </w:num>
  <w:num w:numId="27">
    <w:abstractNumId w:val="6"/>
  </w:num>
  <w:num w:numId="28">
    <w:abstractNumId w:val="7"/>
  </w:num>
  <w:num w:numId="29">
    <w:abstractNumId w:val="12"/>
  </w:num>
  <w:num w:numId="30">
    <w:abstractNumId w:val="5"/>
  </w:num>
  <w:num w:numId="31">
    <w:abstractNumId w:val="14"/>
  </w:num>
  <w:num w:numId="32">
    <w:abstractNumId w:val="28"/>
  </w:num>
  <w:num w:numId="33">
    <w:abstractNumId w:val="16"/>
  </w:num>
  <w:num w:numId="34">
    <w:abstractNumId w:val="35"/>
  </w:num>
  <w:num w:numId="35">
    <w:abstractNumId w:val="30"/>
  </w:num>
  <w:num w:numId="36">
    <w:abstractNumId w:val="31"/>
  </w:num>
  <w:num w:numId="37">
    <w:abstractNumId w:val="34"/>
  </w:num>
  <w:num w:numId="38">
    <w:abstractNumId w:val="9"/>
  </w:num>
  <w:num w:numId="39">
    <w:abstractNumId w:val="20"/>
  </w:num>
  <w:num w:numId="40">
    <w:abstractNumId w:val="20"/>
  </w:num>
  <w:num w:numId="41">
    <w:abstractNumId w:val="26"/>
    <w:lvlOverride w:ilvl="0">
      <w:startOverride w:val="1"/>
    </w:lvlOverride>
  </w:num>
  <w:num w:numId="42">
    <w:abstractNumId w:val="4"/>
  </w:num>
  <w:num w:numId="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740"/>
    <w:rsid w:val="00001347"/>
    <w:rsid w:val="00002A37"/>
    <w:rsid w:val="0000564C"/>
    <w:rsid w:val="00006446"/>
    <w:rsid w:val="00006896"/>
    <w:rsid w:val="00007CDC"/>
    <w:rsid w:val="00010DA3"/>
    <w:rsid w:val="00011B28"/>
    <w:rsid w:val="00015D15"/>
    <w:rsid w:val="00021898"/>
    <w:rsid w:val="00023EFF"/>
    <w:rsid w:val="0002564D"/>
    <w:rsid w:val="00025ECA"/>
    <w:rsid w:val="00031422"/>
    <w:rsid w:val="000325B8"/>
    <w:rsid w:val="00033E97"/>
    <w:rsid w:val="00034C15"/>
    <w:rsid w:val="000350B8"/>
    <w:rsid w:val="00036BA1"/>
    <w:rsid w:val="00041D0A"/>
    <w:rsid w:val="00041E54"/>
    <w:rsid w:val="000422E2"/>
    <w:rsid w:val="00042F22"/>
    <w:rsid w:val="000444EF"/>
    <w:rsid w:val="00051040"/>
    <w:rsid w:val="00052A07"/>
    <w:rsid w:val="000534E3"/>
    <w:rsid w:val="00054575"/>
    <w:rsid w:val="0005606A"/>
    <w:rsid w:val="00057117"/>
    <w:rsid w:val="000616E7"/>
    <w:rsid w:val="0006487E"/>
    <w:rsid w:val="000650E2"/>
    <w:rsid w:val="00065E1A"/>
    <w:rsid w:val="00071ED1"/>
    <w:rsid w:val="00076628"/>
    <w:rsid w:val="00077E5F"/>
    <w:rsid w:val="0008036A"/>
    <w:rsid w:val="00081AE6"/>
    <w:rsid w:val="000833C6"/>
    <w:rsid w:val="000855EB"/>
    <w:rsid w:val="00085B52"/>
    <w:rsid w:val="000866F2"/>
    <w:rsid w:val="00086928"/>
    <w:rsid w:val="00086E1E"/>
    <w:rsid w:val="0009009F"/>
    <w:rsid w:val="00091557"/>
    <w:rsid w:val="000924C1"/>
    <w:rsid w:val="000924F0"/>
    <w:rsid w:val="00093474"/>
    <w:rsid w:val="0009510F"/>
    <w:rsid w:val="00095354"/>
    <w:rsid w:val="0009536B"/>
    <w:rsid w:val="0009601A"/>
    <w:rsid w:val="00097325"/>
    <w:rsid w:val="00097D41"/>
    <w:rsid w:val="000A1072"/>
    <w:rsid w:val="000A1B7B"/>
    <w:rsid w:val="000A3FEA"/>
    <w:rsid w:val="000A56F2"/>
    <w:rsid w:val="000A583F"/>
    <w:rsid w:val="000A615F"/>
    <w:rsid w:val="000A7129"/>
    <w:rsid w:val="000B2719"/>
    <w:rsid w:val="000B3A8F"/>
    <w:rsid w:val="000B4AB9"/>
    <w:rsid w:val="000B4AD9"/>
    <w:rsid w:val="000B58C3"/>
    <w:rsid w:val="000B61E9"/>
    <w:rsid w:val="000C008E"/>
    <w:rsid w:val="000C165A"/>
    <w:rsid w:val="000C2B38"/>
    <w:rsid w:val="000C2E19"/>
    <w:rsid w:val="000D0D07"/>
    <w:rsid w:val="000D4536"/>
    <w:rsid w:val="000D4797"/>
    <w:rsid w:val="000D76E0"/>
    <w:rsid w:val="000E0527"/>
    <w:rsid w:val="000E1E92"/>
    <w:rsid w:val="000E1FC3"/>
    <w:rsid w:val="000E7F2D"/>
    <w:rsid w:val="000F06D6"/>
    <w:rsid w:val="000F0EB1"/>
    <w:rsid w:val="000F1106"/>
    <w:rsid w:val="000F3BE9"/>
    <w:rsid w:val="000F3F6C"/>
    <w:rsid w:val="000F6DF3"/>
    <w:rsid w:val="000F77DF"/>
    <w:rsid w:val="001005FF"/>
    <w:rsid w:val="00103571"/>
    <w:rsid w:val="001054F1"/>
    <w:rsid w:val="00105DF8"/>
    <w:rsid w:val="001062FB"/>
    <w:rsid w:val="001063E6"/>
    <w:rsid w:val="001072C6"/>
    <w:rsid w:val="00112ED4"/>
    <w:rsid w:val="00113CF4"/>
    <w:rsid w:val="00114AFC"/>
    <w:rsid w:val="001150A0"/>
    <w:rsid w:val="001153EA"/>
    <w:rsid w:val="00115643"/>
    <w:rsid w:val="00116765"/>
    <w:rsid w:val="00116AE8"/>
    <w:rsid w:val="00116EDD"/>
    <w:rsid w:val="001219F5"/>
    <w:rsid w:val="00121A20"/>
    <w:rsid w:val="00121AAD"/>
    <w:rsid w:val="0012377F"/>
    <w:rsid w:val="00124314"/>
    <w:rsid w:val="00126B4A"/>
    <w:rsid w:val="00131E03"/>
    <w:rsid w:val="00131E18"/>
    <w:rsid w:val="00132C25"/>
    <w:rsid w:val="00132FD0"/>
    <w:rsid w:val="00133D58"/>
    <w:rsid w:val="001344C0"/>
    <w:rsid w:val="001346FA"/>
    <w:rsid w:val="00135252"/>
    <w:rsid w:val="00137AB5"/>
    <w:rsid w:val="00137DBB"/>
    <w:rsid w:val="00137F0B"/>
    <w:rsid w:val="00141143"/>
    <w:rsid w:val="00144A34"/>
    <w:rsid w:val="00151E23"/>
    <w:rsid w:val="001523EF"/>
    <w:rsid w:val="001526E0"/>
    <w:rsid w:val="001551B5"/>
    <w:rsid w:val="001635E0"/>
    <w:rsid w:val="001651E8"/>
    <w:rsid w:val="001659C1"/>
    <w:rsid w:val="00173A8E"/>
    <w:rsid w:val="0017502C"/>
    <w:rsid w:val="0018143F"/>
    <w:rsid w:val="00181FF8"/>
    <w:rsid w:val="00190894"/>
    <w:rsid w:val="00190AC1"/>
    <w:rsid w:val="00191F8E"/>
    <w:rsid w:val="00192101"/>
    <w:rsid w:val="00192D5A"/>
    <w:rsid w:val="0019341A"/>
    <w:rsid w:val="00193CCC"/>
    <w:rsid w:val="00197DF9"/>
    <w:rsid w:val="001A1987"/>
    <w:rsid w:val="001A1F0F"/>
    <w:rsid w:val="001A23D8"/>
    <w:rsid w:val="001A2564"/>
    <w:rsid w:val="001A3FE2"/>
    <w:rsid w:val="001A6173"/>
    <w:rsid w:val="001A6462"/>
    <w:rsid w:val="001A6CBA"/>
    <w:rsid w:val="001A7247"/>
    <w:rsid w:val="001A7352"/>
    <w:rsid w:val="001B0D97"/>
    <w:rsid w:val="001B1C40"/>
    <w:rsid w:val="001B5226"/>
    <w:rsid w:val="001B5A5D"/>
    <w:rsid w:val="001B60E7"/>
    <w:rsid w:val="001C01B8"/>
    <w:rsid w:val="001C0F7E"/>
    <w:rsid w:val="001C1CE5"/>
    <w:rsid w:val="001C2716"/>
    <w:rsid w:val="001C3869"/>
    <w:rsid w:val="001C3D2A"/>
    <w:rsid w:val="001C45A8"/>
    <w:rsid w:val="001C6423"/>
    <w:rsid w:val="001D00BC"/>
    <w:rsid w:val="001D06BF"/>
    <w:rsid w:val="001D3AEF"/>
    <w:rsid w:val="001D51BA"/>
    <w:rsid w:val="001D523E"/>
    <w:rsid w:val="001D53E7"/>
    <w:rsid w:val="001D5C2D"/>
    <w:rsid w:val="001D6342"/>
    <w:rsid w:val="001D661B"/>
    <w:rsid w:val="001D6D53"/>
    <w:rsid w:val="001D7903"/>
    <w:rsid w:val="001E12EA"/>
    <w:rsid w:val="001E4A50"/>
    <w:rsid w:val="001E58E2"/>
    <w:rsid w:val="001E7AED"/>
    <w:rsid w:val="001F2608"/>
    <w:rsid w:val="001F3916"/>
    <w:rsid w:val="001F54C5"/>
    <w:rsid w:val="001F662C"/>
    <w:rsid w:val="001F6C7E"/>
    <w:rsid w:val="001F7074"/>
    <w:rsid w:val="00200490"/>
    <w:rsid w:val="00201F3A"/>
    <w:rsid w:val="00202889"/>
    <w:rsid w:val="00203376"/>
    <w:rsid w:val="00203F96"/>
    <w:rsid w:val="002069B2"/>
    <w:rsid w:val="00207FA3"/>
    <w:rsid w:val="0021364B"/>
    <w:rsid w:val="0021499F"/>
    <w:rsid w:val="00214DA8"/>
    <w:rsid w:val="00215423"/>
    <w:rsid w:val="002158FA"/>
    <w:rsid w:val="002171F0"/>
    <w:rsid w:val="00217AB6"/>
    <w:rsid w:val="00220600"/>
    <w:rsid w:val="0022130B"/>
    <w:rsid w:val="002224DB"/>
    <w:rsid w:val="00222756"/>
    <w:rsid w:val="00222782"/>
    <w:rsid w:val="002235C4"/>
    <w:rsid w:val="00223FCB"/>
    <w:rsid w:val="002252C3"/>
    <w:rsid w:val="00225C54"/>
    <w:rsid w:val="00230765"/>
    <w:rsid w:val="00230D18"/>
    <w:rsid w:val="002319E4"/>
    <w:rsid w:val="00232919"/>
    <w:rsid w:val="00235196"/>
    <w:rsid w:val="00235632"/>
    <w:rsid w:val="00235872"/>
    <w:rsid w:val="00236241"/>
    <w:rsid w:val="00241559"/>
    <w:rsid w:val="002435B3"/>
    <w:rsid w:val="002458EB"/>
    <w:rsid w:val="002500C8"/>
    <w:rsid w:val="002522AE"/>
    <w:rsid w:val="00252D1C"/>
    <w:rsid w:val="00257543"/>
    <w:rsid w:val="002617E7"/>
    <w:rsid w:val="00264228"/>
    <w:rsid w:val="00264334"/>
    <w:rsid w:val="0026473E"/>
    <w:rsid w:val="002650B0"/>
    <w:rsid w:val="00266214"/>
    <w:rsid w:val="00266D6C"/>
    <w:rsid w:val="00267C83"/>
    <w:rsid w:val="002708D4"/>
    <w:rsid w:val="0027144F"/>
    <w:rsid w:val="00271813"/>
    <w:rsid w:val="00271900"/>
    <w:rsid w:val="00271F3A"/>
    <w:rsid w:val="00273278"/>
    <w:rsid w:val="002734E6"/>
    <w:rsid w:val="002737F4"/>
    <w:rsid w:val="0027492D"/>
    <w:rsid w:val="00277D8A"/>
    <w:rsid w:val="002805F5"/>
    <w:rsid w:val="00280751"/>
    <w:rsid w:val="0028280A"/>
    <w:rsid w:val="00285920"/>
    <w:rsid w:val="00286ACD"/>
    <w:rsid w:val="002873CA"/>
    <w:rsid w:val="00287838"/>
    <w:rsid w:val="002907B5"/>
    <w:rsid w:val="0029205C"/>
    <w:rsid w:val="00292EB7"/>
    <w:rsid w:val="002938BA"/>
    <w:rsid w:val="00295FB9"/>
    <w:rsid w:val="00296227"/>
    <w:rsid w:val="00296F44"/>
    <w:rsid w:val="0029777D"/>
    <w:rsid w:val="002A055E"/>
    <w:rsid w:val="002A1D4E"/>
    <w:rsid w:val="002A2622"/>
    <w:rsid w:val="002A2869"/>
    <w:rsid w:val="002B0D37"/>
    <w:rsid w:val="002B0D72"/>
    <w:rsid w:val="002B24D6"/>
    <w:rsid w:val="002B4AA2"/>
    <w:rsid w:val="002B6E98"/>
    <w:rsid w:val="002C0835"/>
    <w:rsid w:val="002C41E6"/>
    <w:rsid w:val="002C7B72"/>
    <w:rsid w:val="002D071A"/>
    <w:rsid w:val="002D1211"/>
    <w:rsid w:val="002D34B2"/>
    <w:rsid w:val="002D3B97"/>
    <w:rsid w:val="002D48B0"/>
    <w:rsid w:val="002D5B37"/>
    <w:rsid w:val="002D7637"/>
    <w:rsid w:val="002E0A2B"/>
    <w:rsid w:val="002E16FE"/>
    <w:rsid w:val="002E17F2"/>
    <w:rsid w:val="002E7CAE"/>
    <w:rsid w:val="002F13E4"/>
    <w:rsid w:val="002F2771"/>
    <w:rsid w:val="002F37A9"/>
    <w:rsid w:val="002F512B"/>
    <w:rsid w:val="00301CE6"/>
    <w:rsid w:val="0030256B"/>
    <w:rsid w:val="00302A4D"/>
    <w:rsid w:val="00304827"/>
    <w:rsid w:val="0030501F"/>
    <w:rsid w:val="00307084"/>
    <w:rsid w:val="00307BA1"/>
    <w:rsid w:val="00311702"/>
    <w:rsid w:val="00311E82"/>
    <w:rsid w:val="00313FD6"/>
    <w:rsid w:val="003143BD"/>
    <w:rsid w:val="00315363"/>
    <w:rsid w:val="003203ED"/>
    <w:rsid w:val="00320F54"/>
    <w:rsid w:val="003218A0"/>
    <w:rsid w:val="00322C9F"/>
    <w:rsid w:val="00323155"/>
    <w:rsid w:val="00323957"/>
    <w:rsid w:val="00324D23"/>
    <w:rsid w:val="003264BF"/>
    <w:rsid w:val="00331751"/>
    <w:rsid w:val="00333453"/>
    <w:rsid w:val="00334579"/>
    <w:rsid w:val="00335858"/>
    <w:rsid w:val="00336BDA"/>
    <w:rsid w:val="00342BD7"/>
    <w:rsid w:val="00346722"/>
    <w:rsid w:val="00346DB5"/>
    <w:rsid w:val="003477B1"/>
    <w:rsid w:val="00347AA9"/>
    <w:rsid w:val="003514BB"/>
    <w:rsid w:val="003522BC"/>
    <w:rsid w:val="00357380"/>
    <w:rsid w:val="003602D9"/>
    <w:rsid w:val="003604CE"/>
    <w:rsid w:val="00361A1C"/>
    <w:rsid w:val="00370E47"/>
    <w:rsid w:val="00371553"/>
    <w:rsid w:val="00371662"/>
    <w:rsid w:val="00373BB5"/>
    <w:rsid w:val="003742AC"/>
    <w:rsid w:val="00374948"/>
    <w:rsid w:val="003778A9"/>
    <w:rsid w:val="00377CE1"/>
    <w:rsid w:val="00384A18"/>
    <w:rsid w:val="00385BF0"/>
    <w:rsid w:val="003939FF"/>
    <w:rsid w:val="00396EFD"/>
    <w:rsid w:val="00397849"/>
    <w:rsid w:val="003A2223"/>
    <w:rsid w:val="003A2A0F"/>
    <w:rsid w:val="003A45A1"/>
    <w:rsid w:val="003A5B0A"/>
    <w:rsid w:val="003A6BAC"/>
    <w:rsid w:val="003A70A4"/>
    <w:rsid w:val="003A7EF3"/>
    <w:rsid w:val="003B1434"/>
    <w:rsid w:val="003B159C"/>
    <w:rsid w:val="003B369F"/>
    <w:rsid w:val="003B36A3"/>
    <w:rsid w:val="003B64BB"/>
    <w:rsid w:val="003B7FE5"/>
    <w:rsid w:val="003C11C8"/>
    <w:rsid w:val="003C2702"/>
    <w:rsid w:val="003C3582"/>
    <w:rsid w:val="003C3833"/>
    <w:rsid w:val="003C3C8C"/>
    <w:rsid w:val="003C7806"/>
    <w:rsid w:val="003D109F"/>
    <w:rsid w:val="003D2478"/>
    <w:rsid w:val="003D3C45"/>
    <w:rsid w:val="003D5B1F"/>
    <w:rsid w:val="003E15FA"/>
    <w:rsid w:val="003E55E4"/>
    <w:rsid w:val="003E6D82"/>
    <w:rsid w:val="003E74E3"/>
    <w:rsid w:val="003E7F89"/>
    <w:rsid w:val="003F05C7"/>
    <w:rsid w:val="003F2CD4"/>
    <w:rsid w:val="003F3328"/>
    <w:rsid w:val="003F6BBE"/>
    <w:rsid w:val="004000E8"/>
    <w:rsid w:val="00400CD5"/>
    <w:rsid w:val="00402E2B"/>
    <w:rsid w:val="0040512B"/>
    <w:rsid w:val="00405CA5"/>
    <w:rsid w:val="004073A6"/>
    <w:rsid w:val="00407CD3"/>
    <w:rsid w:val="00410134"/>
    <w:rsid w:val="00410B72"/>
    <w:rsid w:val="00410F18"/>
    <w:rsid w:val="0041263E"/>
    <w:rsid w:val="00412EAB"/>
    <w:rsid w:val="00413650"/>
    <w:rsid w:val="00413AAC"/>
    <w:rsid w:val="00413E92"/>
    <w:rsid w:val="00414814"/>
    <w:rsid w:val="00415479"/>
    <w:rsid w:val="00416B80"/>
    <w:rsid w:val="00421105"/>
    <w:rsid w:val="00422AA4"/>
    <w:rsid w:val="004242F4"/>
    <w:rsid w:val="00427248"/>
    <w:rsid w:val="0042739E"/>
    <w:rsid w:val="00433736"/>
    <w:rsid w:val="004355CA"/>
    <w:rsid w:val="00437447"/>
    <w:rsid w:val="00441A92"/>
    <w:rsid w:val="004431DC"/>
    <w:rsid w:val="00444F56"/>
    <w:rsid w:val="00446488"/>
    <w:rsid w:val="00446B2A"/>
    <w:rsid w:val="00450094"/>
    <w:rsid w:val="004517AA"/>
    <w:rsid w:val="00452CAC"/>
    <w:rsid w:val="004545B9"/>
    <w:rsid w:val="0045637A"/>
    <w:rsid w:val="00457565"/>
    <w:rsid w:val="00457B71"/>
    <w:rsid w:val="004635C1"/>
    <w:rsid w:val="00464689"/>
    <w:rsid w:val="004669E2"/>
    <w:rsid w:val="00467AEF"/>
    <w:rsid w:val="00470A3B"/>
    <w:rsid w:val="00470C31"/>
    <w:rsid w:val="00471DE0"/>
    <w:rsid w:val="00472338"/>
    <w:rsid w:val="004734D0"/>
    <w:rsid w:val="0047556B"/>
    <w:rsid w:val="00477768"/>
    <w:rsid w:val="004856F6"/>
    <w:rsid w:val="004877FC"/>
    <w:rsid w:val="00492BC5"/>
    <w:rsid w:val="004961FE"/>
    <w:rsid w:val="004964F1"/>
    <w:rsid w:val="00496959"/>
    <w:rsid w:val="004A16BC"/>
    <w:rsid w:val="004A2419"/>
    <w:rsid w:val="004A2B94"/>
    <w:rsid w:val="004A2D3F"/>
    <w:rsid w:val="004A7A71"/>
    <w:rsid w:val="004B04AE"/>
    <w:rsid w:val="004B50B0"/>
    <w:rsid w:val="004B541B"/>
    <w:rsid w:val="004B6F6A"/>
    <w:rsid w:val="004B7C0C"/>
    <w:rsid w:val="004C3898"/>
    <w:rsid w:val="004C5D6B"/>
    <w:rsid w:val="004C60C4"/>
    <w:rsid w:val="004C6502"/>
    <w:rsid w:val="004C682C"/>
    <w:rsid w:val="004D36B1"/>
    <w:rsid w:val="004D446C"/>
    <w:rsid w:val="004D60DF"/>
    <w:rsid w:val="004D6ED0"/>
    <w:rsid w:val="004D79A0"/>
    <w:rsid w:val="004D7EBD"/>
    <w:rsid w:val="004E2680"/>
    <w:rsid w:val="004E28F9"/>
    <w:rsid w:val="004E462E"/>
    <w:rsid w:val="004E56DC"/>
    <w:rsid w:val="004E5768"/>
    <w:rsid w:val="004E76F4"/>
    <w:rsid w:val="004F0B4E"/>
    <w:rsid w:val="004F0B6C"/>
    <w:rsid w:val="004F2078"/>
    <w:rsid w:val="004F2EE6"/>
    <w:rsid w:val="004F3BF6"/>
    <w:rsid w:val="004F3CD7"/>
    <w:rsid w:val="004F4DA3"/>
    <w:rsid w:val="005005D7"/>
    <w:rsid w:val="005015C5"/>
    <w:rsid w:val="0050199D"/>
    <w:rsid w:val="0050278F"/>
    <w:rsid w:val="00506557"/>
    <w:rsid w:val="0050677A"/>
    <w:rsid w:val="00510306"/>
    <w:rsid w:val="005108D8"/>
    <w:rsid w:val="005116F9"/>
    <w:rsid w:val="00511DD5"/>
    <w:rsid w:val="005153A7"/>
    <w:rsid w:val="00516C0A"/>
    <w:rsid w:val="0052127C"/>
    <w:rsid w:val="005219CF"/>
    <w:rsid w:val="00521E74"/>
    <w:rsid w:val="00522658"/>
    <w:rsid w:val="00523DE6"/>
    <w:rsid w:val="0052728A"/>
    <w:rsid w:val="00532D59"/>
    <w:rsid w:val="00533940"/>
    <w:rsid w:val="00534B59"/>
    <w:rsid w:val="00536759"/>
    <w:rsid w:val="00537C62"/>
    <w:rsid w:val="00540483"/>
    <w:rsid w:val="005453E4"/>
    <w:rsid w:val="00546970"/>
    <w:rsid w:val="00554E19"/>
    <w:rsid w:val="005569F8"/>
    <w:rsid w:val="00556A69"/>
    <w:rsid w:val="00557301"/>
    <w:rsid w:val="0056121F"/>
    <w:rsid w:val="00572505"/>
    <w:rsid w:val="00582809"/>
    <w:rsid w:val="0058357A"/>
    <w:rsid w:val="00583B1D"/>
    <w:rsid w:val="00584FFA"/>
    <w:rsid w:val="0058798C"/>
    <w:rsid w:val="005900FA"/>
    <w:rsid w:val="00590189"/>
    <w:rsid w:val="005935A4"/>
    <w:rsid w:val="0059463B"/>
    <w:rsid w:val="005948C2"/>
    <w:rsid w:val="00595DCA"/>
    <w:rsid w:val="005963E1"/>
    <w:rsid w:val="0059779B"/>
    <w:rsid w:val="005A209A"/>
    <w:rsid w:val="005A445A"/>
    <w:rsid w:val="005A4FAD"/>
    <w:rsid w:val="005A662D"/>
    <w:rsid w:val="005B078C"/>
    <w:rsid w:val="005B1409"/>
    <w:rsid w:val="005B26C1"/>
    <w:rsid w:val="005B35D7"/>
    <w:rsid w:val="005B392A"/>
    <w:rsid w:val="005B3AA3"/>
    <w:rsid w:val="005B4125"/>
    <w:rsid w:val="005B6F83"/>
    <w:rsid w:val="005B71CE"/>
    <w:rsid w:val="005B72D4"/>
    <w:rsid w:val="005C1533"/>
    <w:rsid w:val="005C3426"/>
    <w:rsid w:val="005C74FB"/>
    <w:rsid w:val="005D1602"/>
    <w:rsid w:val="005D1B7C"/>
    <w:rsid w:val="005D64C9"/>
    <w:rsid w:val="005E35D0"/>
    <w:rsid w:val="005E385F"/>
    <w:rsid w:val="005E5827"/>
    <w:rsid w:val="005E5882"/>
    <w:rsid w:val="005E5B81"/>
    <w:rsid w:val="005F2CB1"/>
    <w:rsid w:val="005F3025"/>
    <w:rsid w:val="005F618C"/>
    <w:rsid w:val="005F70BD"/>
    <w:rsid w:val="0060283C"/>
    <w:rsid w:val="006031E7"/>
    <w:rsid w:val="00604F14"/>
    <w:rsid w:val="00610804"/>
    <w:rsid w:val="00610F2D"/>
    <w:rsid w:val="006117F2"/>
    <w:rsid w:val="00611B83"/>
    <w:rsid w:val="00613257"/>
    <w:rsid w:val="00620A71"/>
    <w:rsid w:val="00620D80"/>
    <w:rsid w:val="00622DCB"/>
    <w:rsid w:val="006234A6"/>
    <w:rsid w:val="00630001"/>
    <w:rsid w:val="00630CFF"/>
    <w:rsid w:val="006311B3"/>
    <w:rsid w:val="0063130B"/>
    <w:rsid w:val="0063164C"/>
    <w:rsid w:val="0063284C"/>
    <w:rsid w:val="00636398"/>
    <w:rsid w:val="006368D3"/>
    <w:rsid w:val="006377EC"/>
    <w:rsid w:val="00640B6E"/>
    <w:rsid w:val="00640BA6"/>
    <w:rsid w:val="0064151F"/>
    <w:rsid w:val="00641533"/>
    <w:rsid w:val="0064208D"/>
    <w:rsid w:val="00643475"/>
    <w:rsid w:val="006435A5"/>
    <w:rsid w:val="0064396A"/>
    <w:rsid w:val="0064624E"/>
    <w:rsid w:val="006464DC"/>
    <w:rsid w:val="00650AB9"/>
    <w:rsid w:val="00651383"/>
    <w:rsid w:val="0065304D"/>
    <w:rsid w:val="00655733"/>
    <w:rsid w:val="00655ACD"/>
    <w:rsid w:val="00656171"/>
    <w:rsid w:val="00656A92"/>
    <w:rsid w:val="00656DDE"/>
    <w:rsid w:val="0065730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FBC"/>
    <w:rsid w:val="00681003"/>
    <w:rsid w:val="0068104A"/>
    <w:rsid w:val="006817C9"/>
    <w:rsid w:val="00683ECE"/>
    <w:rsid w:val="00686BC3"/>
    <w:rsid w:val="0068728C"/>
    <w:rsid w:val="006918CF"/>
    <w:rsid w:val="006928B0"/>
    <w:rsid w:val="00693783"/>
    <w:rsid w:val="00695FC2"/>
    <w:rsid w:val="00696949"/>
    <w:rsid w:val="00697052"/>
    <w:rsid w:val="006974CD"/>
    <w:rsid w:val="00697EF3"/>
    <w:rsid w:val="006A46FB"/>
    <w:rsid w:val="006A5BFB"/>
    <w:rsid w:val="006A5E28"/>
    <w:rsid w:val="006A697B"/>
    <w:rsid w:val="006A7AFF"/>
    <w:rsid w:val="006B1816"/>
    <w:rsid w:val="006B2099"/>
    <w:rsid w:val="006B50CF"/>
    <w:rsid w:val="006C03B8"/>
    <w:rsid w:val="006C541D"/>
    <w:rsid w:val="006C5C24"/>
    <w:rsid w:val="006C5EC9"/>
    <w:rsid w:val="006C6059"/>
    <w:rsid w:val="006C7522"/>
    <w:rsid w:val="006D4870"/>
    <w:rsid w:val="006D601B"/>
    <w:rsid w:val="006D6F08"/>
    <w:rsid w:val="006E062C"/>
    <w:rsid w:val="006E0EC7"/>
    <w:rsid w:val="006E1C82"/>
    <w:rsid w:val="006E2153"/>
    <w:rsid w:val="006E28B7"/>
    <w:rsid w:val="006E2A9B"/>
    <w:rsid w:val="006E3310"/>
    <w:rsid w:val="006E3CBB"/>
    <w:rsid w:val="006E4E39"/>
    <w:rsid w:val="006E565E"/>
    <w:rsid w:val="006E5951"/>
    <w:rsid w:val="006E63AB"/>
    <w:rsid w:val="006E673D"/>
    <w:rsid w:val="006E73A7"/>
    <w:rsid w:val="006E7D3B"/>
    <w:rsid w:val="006F1B70"/>
    <w:rsid w:val="006F341D"/>
    <w:rsid w:val="006F3CDE"/>
    <w:rsid w:val="006F58D4"/>
    <w:rsid w:val="006F6582"/>
    <w:rsid w:val="006F67E8"/>
    <w:rsid w:val="0070346E"/>
    <w:rsid w:val="007037E9"/>
    <w:rsid w:val="00704EDB"/>
    <w:rsid w:val="00706101"/>
    <w:rsid w:val="00707072"/>
    <w:rsid w:val="00707D61"/>
    <w:rsid w:val="00712287"/>
    <w:rsid w:val="00712772"/>
    <w:rsid w:val="007148D3"/>
    <w:rsid w:val="00714A57"/>
    <w:rsid w:val="00715B9A"/>
    <w:rsid w:val="007202A4"/>
    <w:rsid w:val="00720EB7"/>
    <w:rsid w:val="0072136E"/>
    <w:rsid w:val="00721B32"/>
    <w:rsid w:val="007257D0"/>
    <w:rsid w:val="00726EA6"/>
    <w:rsid w:val="00727208"/>
    <w:rsid w:val="00727680"/>
    <w:rsid w:val="007323BA"/>
    <w:rsid w:val="00733559"/>
    <w:rsid w:val="007348B1"/>
    <w:rsid w:val="0073499F"/>
    <w:rsid w:val="007362A6"/>
    <w:rsid w:val="00736D7D"/>
    <w:rsid w:val="00737992"/>
    <w:rsid w:val="00740E58"/>
    <w:rsid w:val="007445A0"/>
    <w:rsid w:val="0074524B"/>
    <w:rsid w:val="00746C1F"/>
    <w:rsid w:val="00746E75"/>
    <w:rsid w:val="00747D8B"/>
    <w:rsid w:val="00751228"/>
    <w:rsid w:val="00752AF2"/>
    <w:rsid w:val="00755263"/>
    <w:rsid w:val="007571E1"/>
    <w:rsid w:val="007604B2"/>
    <w:rsid w:val="00765281"/>
    <w:rsid w:val="00766BAD"/>
    <w:rsid w:val="007706A5"/>
    <w:rsid w:val="00771F52"/>
    <w:rsid w:val="007729A2"/>
    <w:rsid w:val="00773FF1"/>
    <w:rsid w:val="007755F2"/>
    <w:rsid w:val="00776971"/>
    <w:rsid w:val="00776E20"/>
    <w:rsid w:val="00780A80"/>
    <w:rsid w:val="0078177E"/>
    <w:rsid w:val="0078265C"/>
    <w:rsid w:val="0078304C"/>
    <w:rsid w:val="00783673"/>
    <w:rsid w:val="00785490"/>
    <w:rsid w:val="00786A82"/>
    <w:rsid w:val="00790BB2"/>
    <w:rsid w:val="007925EA"/>
    <w:rsid w:val="00793CD8"/>
    <w:rsid w:val="00795C92"/>
    <w:rsid w:val="00796231"/>
    <w:rsid w:val="00796A78"/>
    <w:rsid w:val="007A1CB3"/>
    <w:rsid w:val="007A1E95"/>
    <w:rsid w:val="007A2377"/>
    <w:rsid w:val="007A2DAE"/>
    <w:rsid w:val="007A306F"/>
    <w:rsid w:val="007A39C9"/>
    <w:rsid w:val="007A43A6"/>
    <w:rsid w:val="007A44B6"/>
    <w:rsid w:val="007A58A6"/>
    <w:rsid w:val="007B3D2D"/>
    <w:rsid w:val="007B50AE"/>
    <w:rsid w:val="007B51DF"/>
    <w:rsid w:val="007C05DD"/>
    <w:rsid w:val="007C2292"/>
    <w:rsid w:val="007C3D18"/>
    <w:rsid w:val="007C60BF"/>
    <w:rsid w:val="007C6A07"/>
    <w:rsid w:val="007C75A1"/>
    <w:rsid w:val="007C77A5"/>
    <w:rsid w:val="007D04E5"/>
    <w:rsid w:val="007D4944"/>
    <w:rsid w:val="007D4C1D"/>
    <w:rsid w:val="007D5901"/>
    <w:rsid w:val="007D7526"/>
    <w:rsid w:val="007E4610"/>
    <w:rsid w:val="007E4715"/>
    <w:rsid w:val="007E4C7C"/>
    <w:rsid w:val="007E505B"/>
    <w:rsid w:val="007E7091"/>
    <w:rsid w:val="007E7108"/>
    <w:rsid w:val="007F06F4"/>
    <w:rsid w:val="008001A1"/>
    <w:rsid w:val="00803FAE"/>
    <w:rsid w:val="008052EC"/>
    <w:rsid w:val="0080605F"/>
    <w:rsid w:val="00807786"/>
    <w:rsid w:val="00807FED"/>
    <w:rsid w:val="00811FCB"/>
    <w:rsid w:val="00812F46"/>
    <w:rsid w:val="0081346D"/>
    <w:rsid w:val="008158D6"/>
    <w:rsid w:val="00817196"/>
    <w:rsid w:val="00820207"/>
    <w:rsid w:val="008215CA"/>
    <w:rsid w:val="008235DB"/>
    <w:rsid w:val="00824AB4"/>
    <w:rsid w:val="00825C42"/>
    <w:rsid w:val="00825D25"/>
    <w:rsid w:val="00825DD2"/>
    <w:rsid w:val="00826D3F"/>
    <w:rsid w:val="00827D6F"/>
    <w:rsid w:val="008316F5"/>
    <w:rsid w:val="00832118"/>
    <w:rsid w:val="00834C2A"/>
    <w:rsid w:val="008376AC"/>
    <w:rsid w:val="00837C45"/>
    <w:rsid w:val="0084319D"/>
    <w:rsid w:val="008444E8"/>
    <w:rsid w:val="008447C4"/>
    <w:rsid w:val="00844E80"/>
    <w:rsid w:val="00845AA1"/>
    <w:rsid w:val="00846DD3"/>
    <w:rsid w:val="00846FE7"/>
    <w:rsid w:val="00854A82"/>
    <w:rsid w:val="00855ABD"/>
    <w:rsid w:val="00856911"/>
    <w:rsid w:val="00860986"/>
    <w:rsid w:val="008677FD"/>
    <w:rsid w:val="00867AB4"/>
    <w:rsid w:val="008706D4"/>
    <w:rsid w:val="00870F8A"/>
    <w:rsid w:val="008719A4"/>
    <w:rsid w:val="00871D23"/>
    <w:rsid w:val="00873D51"/>
    <w:rsid w:val="00874312"/>
    <w:rsid w:val="0087437C"/>
    <w:rsid w:val="00875CD7"/>
    <w:rsid w:val="00876873"/>
    <w:rsid w:val="00876B4D"/>
    <w:rsid w:val="008775E9"/>
    <w:rsid w:val="00877F18"/>
    <w:rsid w:val="00890343"/>
    <w:rsid w:val="008926B4"/>
    <w:rsid w:val="008941E3"/>
    <w:rsid w:val="00894A88"/>
    <w:rsid w:val="00895386"/>
    <w:rsid w:val="008A0C7B"/>
    <w:rsid w:val="008A21FF"/>
    <w:rsid w:val="008A2CE2"/>
    <w:rsid w:val="008A30AC"/>
    <w:rsid w:val="008A44B8"/>
    <w:rsid w:val="008A51A8"/>
    <w:rsid w:val="008A54C7"/>
    <w:rsid w:val="008A6FFB"/>
    <w:rsid w:val="008A77D8"/>
    <w:rsid w:val="008B0337"/>
    <w:rsid w:val="008B0438"/>
    <w:rsid w:val="008B0483"/>
    <w:rsid w:val="008B120C"/>
    <w:rsid w:val="008B51A0"/>
    <w:rsid w:val="008B592A"/>
    <w:rsid w:val="008B7B5C"/>
    <w:rsid w:val="008C0C99"/>
    <w:rsid w:val="008C107F"/>
    <w:rsid w:val="008C2017"/>
    <w:rsid w:val="008C4958"/>
    <w:rsid w:val="008C4BAA"/>
    <w:rsid w:val="008C6AE8"/>
    <w:rsid w:val="008C7573"/>
    <w:rsid w:val="008D00A5"/>
    <w:rsid w:val="008D050B"/>
    <w:rsid w:val="008D3384"/>
    <w:rsid w:val="008D34F1"/>
    <w:rsid w:val="008D39D8"/>
    <w:rsid w:val="008D4B7C"/>
    <w:rsid w:val="008D5FAD"/>
    <w:rsid w:val="008D6D1A"/>
    <w:rsid w:val="008E0149"/>
    <w:rsid w:val="008E065E"/>
    <w:rsid w:val="008E0927"/>
    <w:rsid w:val="008E1909"/>
    <w:rsid w:val="008E7DB6"/>
    <w:rsid w:val="008F1904"/>
    <w:rsid w:val="008F1C4E"/>
    <w:rsid w:val="008F1EAB"/>
    <w:rsid w:val="008F33DC"/>
    <w:rsid w:val="008F477F"/>
    <w:rsid w:val="008F61F5"/>
    <w:rsid w:val="00901388"/>
    <w:rsid w:val="00902350"/>
    <w:rsid w:val="0090336B"/>
    <w:rsid w:val="009053AA"/>
    <w:rsid w:val="00906939"/>
    <w:rsid w:val="00910B7D"/>
    <w:rsid w:val="00911DFB"/>
    <w:rsid w:val="009139D9"/>
    <w:rsid w:val="00914AD8"/>
    <w:rsid w:val="00914EEC"/>
    <w:rsid w:val="00916079"/>
    <w:rsid w:val="00917CE9"/>
    <w:rsid w:val="0092075B"/>
    <w:rsid w:val="00920BF2"/>
    <w:rsid w:val="00922010"/>
    <w:rsid w:val="009247EF"/>
    <w:rsid w:val="009319BD"/>
    <w:rsid w:val="00931BD9"/>
    <w:rsid w:val="009368F3"/>
    <w:rsid w:val="00941636"/>
    <w:rsid w:val="00943742"/>
    <w:rsid w:val="009441C7"/>
    <w:rsid w:val="00945C05"/>
    <w:rsid w:val="00946945"/>
    <w:rsid w:val="00947713"/>
    <w:rsid w:val="00950DE7"/>
    <w:rsid w:val="00953920"/>
    <w:rsid w:val="00953B3E"/>
    <w:rsid w:val="00953D47"/>
    <w:rsid w:val="0095681E"/>
    <w:rsid w:val="00957069"/>
    <w:rsid w:val="009572D4"/>
    <w:rsid w:val="00961921"/>
    <w:rsid w:val="0096430A"/>
    <w:rsid w:val="0096554B"/>
    <w:rsid w:val="0096584A"/>
    <w:rsid w:val="00971F08"/>
    <w:rsid w:val="009759E8"/>
    <w:rsid w:val="0097603D"/>
    <w:rsid w:val="00976949"/>
    <w:rsid w:val="00980477"/>
    <w:rsid w:val="0098362E"/>
    <w:rsid w:val="00985253"/>
    <w:rsid w:val="009853B3"/>
    <w:rsid w:val="00987504"/>
    <w:rsid w:val="00990630"/>
    <w:rsid w:val="00991761"/>
    <w:rsid w:val="00993259"/>
    <w:rsid w:val="00993CB4"/>
    <w:rsid w:val="00994DCA"/>
    <w:rsid w:val="0099565A"/>
    <w:rsid w:val="009960EC"/>
    <w:rsid w:val="009970DD"/>
    <w:rsid w:val="009A0FBA"/>
    <w:rsid w:val="009A149B"/>
    <w:rsid w:val="009A1601"/>
    <w:rsid w:val="009A1898"/>
    <w:rsid w:val="009A3BB6"/>
    <w:rsid w:val="009A462D"/>
    <w:rsid w:val="009A5CBA"/>
    <w:rsid w:val="009A768B"/>
    <w:rsid w:val="009A7ABE"/>
    <w:rsid w:val="009B1F30"/>
    <w:rsid w:val="009B3AC2"/>
    <w:rsid w:val="009B4DF4"/>
    <w:rsid w:val="009B564E"/>
    <w:rsid w:val="009B7E87"/>
    <w:rsid w:val="009C0169"/>
    <w:rsid w:val="009C0AB2"/>
    <w:rsid w:val="009C2585"/>
    <w:rsid w:val="009C3BE4"/>
    <w:rsid w:val="009C403E"/>
    <w:rsid w:val="009D4FF0"/>
    <w:rsid w:val="009D703C"/>
    <w:rsid w:val="009D718F"/>
    <w:rsid w:val="009D75DA"/>
    <w:rsid w:val="009E068F"/>
    <w:rsid w:val="009E14E0"/>
    <w:rsid w:val="009E1CD4"/>
    <w:rsid w:val="009E35DB"/>
    <w:rsid w:val="009E3913"/>
    <w:rsid w:val="009E47A3"/>
    <w:rsid w:val="009E56D9"/>
    <w:rsid w:val="009F01B8"/>
    <w:rsid w:val="009F08F3"/>
    <w:rsid w:val="009F1E7F"/>
    <w:rsid w:val="009F344F"/>
    <w:rsid w:val="009F349B"/>
    <w:rsid w:val="00A01BCB"/>
    <w:rsid w:val="00A031D8"/>
    <w:rsid w:val="00A048A8"/>
    <w:rsid w:val="00A048E1"/>
    <w:rsid w:val="00A04F49"/>
    <w:rsid w:val="00A07D91"/>
    <w:rsid w:val="00A10581"/>
    <w:rsid w:val="00A1206D"/>
    <w:rsid w:val="00A13E54"/>
    <w:rsid w:val="00A17F63"/>
    <w:rsid w:val="00A2193B"/>
    <w:rsid w:val="00A23383"/>
    <w:rsid w:val="00A2351A"/>
    <w:rsid w:val="00A24154"/>
    <w:rsid w:val="00A25561"/>
    <w:rsid w:val="00A2623D"/>
    <w:rsid w:val="00A264A9"/>
    <w:rsid w:val="00A26DCF"/>
    <w:rsid w:val="00A27785"/>
    <w:rsid w:val="00A30187"/>
    <w:rsid w:val="00A3448A"/>
    <w:rsid w:val="00A36297"/>
    <w:rsid w:val="00A40650"/>
    <w:rsid w:val="00A41E2B"/>
    <w:rsid w:val="00A45B74"/>
    <w:rsid w:val="00A50513"/>
    <w:rsid w:val="00A52E1D"/>
    <w:rsid w:val="00A548CB"/>
    <w:rsid w:val="00A57B6C"/>
    <w:rsid w:val="00A61499"/>
    <w:rsid w:val="00A61F2B"/>
    <w:rsid w:val="00A62A77"/>
    <w:rsid w:val="00A63483"/>
    <w:rsid w:val="00A657D7"/>
    <w:rsid w:val="00A660AC"/>
    <w:rsid w:val="00A67E6C"/>
    <w:rsid w:val="00A7186C"/>
    <w:rsid w:val="00A71B99"/>
    <w:rsid w:val="00A739D0"/>
    <w:rsid w:val="00A753DC"/>
    <w:rsid w:val="00A761D4"/>
    <w:rsid w:val="00A77EC4"/>
    <w:rsid w:val="00A83034"/>
    <w:rsid w:val="00A85BBC"/>
    <w:rsid w:val="00A9069D"/>
    <w:rsid w:val="00A92264"/>
    <w:rsid w:val="00A92879"/>
    <w:rsid w:val="00A9442A"/>
    <w:rsid w:val="00A95327"/>
    <w:rsid w:val="00AA016F"/>
    <w:rsid w:val="00AA0718"/>
    <w:rsid w:val="00AA1ED6"/>
    <w:rsid w:val="00AA35C7"/>
    <w:rsid w:val="00AA3B2A"/>
    <w:rsid w:val="00AA51D6"/>
    <w:rsid w:val="00AA5BA4"/>
    <w:rsid w:val="00AA65D4"/>
    <w:rsid w:val="00AA6B93"/>
    <w:rsid w:val="00AB0BC8"/>
    <w:rsid w:val="00AB11CA"/>
    <w:rsid w:val="00AB14D9"/>
    <w:rsid w:val="00AB4AB8"/>
    <w:rsid w:val="00AB655E"/>
    <w:rsid w:val="00AB66E3"/>
    <w:rsid w:val="00AC007F"/>
    <w:rsid w:val="00AC08B7"/>
    <w:rsid w:val="00AC2ECD"/>
    <w:rsid w:val="00AC3119"/>
    <w:rsid w:val="00AC49FB"/>
    <w:rsid w:val="00AC50AE"/>
    <w:rsid w:val="00AC5A10"/>
    <w:rsid w:val="00AD0AA3"/>
    <w:rsid w:val="00AD2ED0"/>
    <w:rsid w:val="00AD3F94"/>
    <w:rsid w:val="00AD4A5A"/>
    <w:rsid w:val="00AE27AC"/>
    <w:rsid w:val="00AE40E0"/>
    <w:rsid w:val="00AE4DBA"/>
    <w:rsid w:val="00AE4F07"/>
    <w:rsid w:val="00AE63F8"/>
    <w:rsid w:val="00AE68D2"/>
    <w:rsid w:val="00AE6B6A"/>
    <w:rsid w:val="00AF1C5D"/>
    <w:rsid w:val="00AF2D39"/>
    <w:rsid w:val="00AF42D7"/>
    <w:rsid w:val="00AF6E2D"/>
    <w:rsid w:val="00B006FE"/>
    <w:rsid w:val="00B007CB"/>
    <w:rsid w:val="00B01950"/>
    <w:rsid w:val="00B02A41"/>
    <w:rsid w:val="00B02AA9"/>
    <w:rsid w:val="00B02FA3"/>
    <w:rsid w:val="00B05084"/>
    <w:rsid w:val="00B0627E"/>
    <w:rsid w:val="00B068BB"/>
    <w:rsid w:val="00B1384F"/>
    <w:rsid w:val="00B157F9"/>
    <w:rsid w:val="00B20256"/>
    <w:rsid w:val="00B20D09"/>
    <w:rsid w:val="00B2202A"/>
    <w:rsid w:val="00B2216B"/>
    <w:rsid w:val="00B239DC"/>
    <w:rsid w:val="00B2763F"/>
    <w:rsid w:val="00B27AAC"/>
    <w:rsid w:val="00B302EA"/>
    <w:rsid w:val="00B30929"/>
    <w:rsid w:val="00B356A5"/>
    <w:rsid w:val="00B372AA"/>
    <w:rsid w:val="00B373F9"/>
    <w:rsid w:val="00B37D77"/>
    <w:rsid w:val="00B402C8"/>
    <w:rsid w:val="00B40445"/>
    <w:rsid w:val="00B409E0"/>
    <w:rsid w:val="00B40A1C"/>
    <w:rsid w:val="00B41888"/>
    <w:rsid w:val="00B4226B"/>
    <w:rsid w:val="00B45A52"/>
    <w:rsid w:val="00B46175"/>
    <w:rsid w:val="00B548B7"/>
    <w:rsid w:val="00B55EAD"/>
    <w:rsid w:val="00B578F2"/>
    <w:rsid w:val="00B57DD2"/>
    <w:rsid w:val="00B57FD8"/>
    <w:rsid w:val="00B664C7"/>
    <w:rsid w:val="00B666DD"/>
    <w:rsid w:val="00B713D8"/>
    <w:rsid w:val="00B73105"/>
    <w:rsid w:val="00B739F6"/>
    <w:rsid w:val="00B81A6C"/>
    <w:rsid w:val="00B85DE5"/>
    <w:rsid w:val="00B90F73"/>
    <w:rsid w:val="00B92155"/>
    <w:rsid w:val="00B923EE"/>
    <w:rsid w:val="00B93B59"/>
    <w:rsid w:val="00B9406A"/>
    <w:rsid w:val="00B95770"/>
    <w:rsid w:val="00BA2280"/>
    <w:rsid w:val="00BA2A08"/>
    <w:rsid w:val="00BA38F0"/>
    <w:rsid w:val="00BA56D2"/>
    <w:rsid w:val="00BA76E0"/>
    <w:rsid w:val="00BA7A66"/>
    <w:rsid w:val="00BB24BA"/>
    <w:rsid w:val="00BB2A25"/>
    <w:rsid w:val="00BB499C"/>
    <w:rsid w:val="00BB51E9"/>
    <w:rsid w:val="00BB51F6"/>
    <w:rsid w:val="00BC0FDC"/>
    <w:rsid w:val="00BC3053"/>
    <w:rsid w:val="00BC4D2E"/>
    <w:rsid w:val="00BD081B"/>
    <w:rsid w:val="00BD1FA3"/>
    <w:rsid w:val="00BD48AC"/>
    <w:rsid w:val="00BD5F1A"/>
    <w:rsid w:val="00BE1234"/>
    <w:rsid w:val="00BE2FA6"/>
    <w:rsid w:val="00BE333F"/>
    <w:rsid w:val="00BE7406"/>
    <w:rsid w:val="00BE7603"/>
    <w:rsid w:val="00BF3279"/>
    <w:rsid w:val="00BF4EDD"/>
    <w:rsid w:val="00BF6182"/>
    <w:rsid w:val="00BF74C7"/>
    <w:rsid w:val="00C015F1"/>
    <w:rsid w:val="00C01F33"/>
    <w:rsid w:val="00C02CC6"/>
    <w:rsid w:val="00C02D03"/>
    <w:rsid w:val="00C03102"/>
    <w:rsid w:val="00C040F7"/>
    <w:rsid w:val="00C044AB"/>
    <w:rsid w:val="00C05706"/>
    <w:rsid w:val="00C07377"/>
    <w:rsid w:val="00C10478"/>
    <w:rsid w:val="00C10679"/>
    <w:rsid w:val="00C12107"/>
    <w:rsid w:val="00C135C5"/>
    <w:rsid w:val="00C141B9"/>
    <w:rsid w:val="00C14D4B"/>
    <w:rsid w:val="00C15212"/>
    <w:rsid w:val="00C154BB"/>
    <w:rsid w:val="00C15FCA"/>
    <w:rsid w:val="00C20DA6"/>
    <w:rsid w:val="00C22128"/>
    <w:rsid w:val="00C2223F"/>
    <w:rsid w:val="00C23E82"/>
    <w:rsid w:val="00C26B72"/>
    <w:rsid w:val="00C27818"/>
    <w:rsid w:val="00C279B5"/>
    <w:rsid w:val="00C27C45"/>
    <w:rsid w:val="00C30EBC"/>
    <w:rsid w:val="00C30FDE"/>
    <w:rsid w:val="00C316CD"/>
    <w:rsid w:val="00C326A6"/>
    <w:rsid w:val="00C3537C"/>
    <w:rsid w:val="00C3719D"/>
    <w:rsid w:val="00C37CB2"/>
    <w:rsid w:val="00C4386B"/>
    <w:rsid w:val="00C473A5"/>
    <w:rsid w:val="00C5029A"/>
    <w:rsid w:val="00C5208B"/>
    <w:rsid w:val="00C54995"/>
    <w:rsid w:val="00C54D41"/>
    <w:rsid w:val="00C54DB2"/>
    <w:rsid w:val="00C5701A"/>
    <w:rsid w:val="00C60783"/>
    <w:rsid w:val="00C64672"/>
    <w:rsid w:val="00C70697"/>
    <w:rsid w:val="00C72093"/>
    <w:rsid w:val="00C722EC"/>
    <w:rsid w:val="00C72EF4"/>
    <w:rsid w:val="00C744FE"/>
    <w:rsid w:val="00C755DE"/>
    <w:rsid w:val="00C75D2F"/>
    <w:rsid w:val="00C767BE"/>
    <w:rsid w:val="00C76C8E"/>
    <w:rsid w:val="00C76E3C"/>
    <w:rsid w:val="00C77D57"/>
    <w:rsid w:val="00C80EFE"/>
    <w:rsid w:val="00C81568"/>
    <w:rsid w:val="00C82737"/>
    <w:rsid w:val="00C83074"/>
    <w:rsid w:val="00C9027A"/>
    <w:rsid w:val="00C9068E"/>
    <w:rsid w:val="00C90D73"/>
    <w:rsid w:val="00C931C8"/>
    <w:rsid w:val="00C93814"/>
    <w:rsid w:val="00C93C4B"/>
    <w:rsid w:val="00C944AB"/>
    <w:rsid w:val="00C95B40"/>
    <w:rsid w:val="00C95FB8"/>
    <w:rsid w:val="00CA17BB"/>
    <w:rsid w:val="00CA1ED8"/>
    <w:rsid w:val="00CA32D1"/>
    <w:rsid w:val="00CA76EF"/>
    <w:rsid w:val="00CB16D9"/>
    <w:rsid w:val="00CB1F63"/>
    <w:rsid w:val="00CB42D7"/>
    <w:rsid w:val="00CB53A5"/>
    <w:rsid w:val="00CB5CDC"/>
    <w:rsid w:val="00CB7170"/>
    <w:rsid w:val="00CB737F"/>
    <w:rsid w:val="00CC040E"/>
    <w:rsid w:val="00CC111F"/>
    <w:rsid w:val="00CC2011"/>
    <w:rsid w:val="00CC3BC0"/>
    <w:rsid w:val="00CC3EA0"/>
    <w:rsid w:val="00CC7863"/>
    <w:rsid w:val="00CC7B45"/>
    <w:rsid w:val="00CD1188"/>
    <w:rsid w:val="00CD2ED1"/>
    <w:rsid w:val="00CD337B"/>
    <w:rsid w:val="00CD4F3E"/>
    <w:rsid w:val="00CD64EF"/>
    <w:rsid w:val="00CE0424"/>
    <w:rsid w:val="00CE1FBB"/>
    <w:rsid w:val="00CE46BE"/>
    <w:rsid w:val="00CE7561"/>
    <w:rsid w:val="00CF1354"/>
    <w:rsid w:val="00CF38DA"/>
    <w:rsid w:val="00CF3B1F"/>
    <w:rsid w:val="00CF3BF6"/>
    <w:rsid w:val="00CF44BD"/>
    <w:rsid w:val="00CF625B"/>
    <w:rsid w:val="00CF65DD"/>
    <w:rsid w:val="00CF687E"/>
    <w:rsid w:val="00CF6A82"/>
    <w:rsid w:val="00CF6E10"/>
    <w:rsid w:val="00CF6E6B"/>
    <w:rsid w:val="00D01E16"/>
    <w:rsid w:val="00D0349B"/>
    <w:rsid w:val="00D05C59"/>
    <w:rsid w:val="00D10249"/>
    <w:rsid w:val="00D115C3"/>
    <w:rsid w:val="00D11897"/>
    <w:rsid w:val="00D13135"/>
    <w:rsid w:val="00D13E4E"/>
    <w:rsid w:val="00D210C0"/>
    <w:rsid w:val="00D239A7"/>
    <w:rsid w:val="00D23F47"/>
    <w:rsid w:val="00D24E9D"/>
    <w:rsid w:val="00D27A66"/>
    <w:rsid w:val="00D307CE"/>
    <w:rsid w:val="00D369B6"/>
    <w:rsid w:val="00D36E71"/>
    <w:rsid w:val="00D37D87"/>
    <w:rsid w:val="00D40B33"/>
    <w:rsid w:val="00D4318F"/>
    <w:rsid w:val="00D438BF"/>
    <w:rsid w:val="00D440F8"/>
    <w:rsid w:val="00D450BA"/>
    <w:rsid w:val="00D542FB"/>
    <w:rsid w:val="00D546FF"/>
    <w:rsid w:val="00D54C59"/>
    <w:rsid w:val="00D5528D"/>
    <w:rsid w:val="00D55AD5"/>
    <w:rsid w:val="00D576CA"/>
    <w:rsid w:val="00D57B41"/>
    <w:rsid w:val="00D61AF5"/>
    <w:rsid w:val="00D652B5"/>
    <w:rsid w:val="00D66155"/>
    <w:rsid w:val="00D67A02"/>
    <w:rsid w:val="00D708B0"/>
    <w:rsid w:val="00D77B1D"/>
    <w:rsid w:val="00D8021F"/>
    <w:rsid w:val="00D80383"/>
    <w:rsid w:val="00D81162"/>
    <w:rsid w:val="00D8129D"/>
    <w:rsid w:val="00D823C6"/>
    <w:rsid w:val="00D82A46"/>
    <w:rsid w:val="00D8327F"/>
    <w:rsid w:val="00D86CA3"/>
    <w:rsid w:val="00D871CE"/>
    <w:rsid w:val="00D91380"/>
    <w:rsid w:val="00D9196D"/>
    <w:rsid w:val="00D9201D"/>
    <w:rsid w:val="00D92766"/>
    <w:rsid w:val="00D92982"/>
    <w:rsid w:val="00D936C4"/>
    <w:rsid w:val="00D93EBA"/>
    <w:rsid w:val="00D94E80"/>
    <w:rsid w:val="00D95B32"/>
    <w:rsid w:val="00DA2E63"/>
    <w:rsid w:val="00DA305E"/>
    <w:rsid w:val="00DA5417"/>
    <w:rsid w:val="00DA56E8"/>
    <w:rsid w:val="00DB064C"/>
    <w:rsid w:val="00DB07E5"/>
    <w:rsid w:val="00DB0A9F"/>
    <w:rsid w:val="00DB2E3F"/>
    <w:rsid w:val="00DB377D"/>
    <w:rsid w:val="00DB655C"/>
    <w:rsid w:val="00DB67F7"/>
    <w:rsid w:val="00DC02F3"/>
    <w:rsid w:val="00DC2D36"/>
    <w:rsid w:val="00DC420E"/>
    <w:rsid w:val="00DC53EF"/>
    <w:rsid w:val="00DC5932"/>
    <w:rsid w:val="00DD32A9"/>
    <w:rsid w:val="00DD512A"/>
    <w:rsid w:val="00DE5608"/>
    <w:rsid w:val="00DE58D0"/>
    <w:rsid w:val="00DE654F"/>
    <w:rsid w:val="00DF0B6E"/>
    <w:rsid w:val="00DF15E0"/>
    <w:rsid w:val="00DF37A0"/>
    <w:rsid w:val="00DF40EA"/>
    <w:rsid w:val="00DF7061"/>
    <w:rsid w:val="00E02F1A"/>
    <w:rsid w:val="00E05EF4"/>
    <w:rsid w:val="00E110E7"/>
    <w:rsid w:val="00E11B20"/>
    <w:rsid w:val="00E13A80"/>
    <w:rsid w:val="00E15C09"/>
    <w:rsid w:val="00E17B96"/>
    <w:rsid w:val="00E17FA2"/>
    <w:rsid w:val="00E205C0"/>
    <w:rsid w:val="00E22330"/>
    <w:rsid w:val="00E30B5A"/>
    <w:rsid w:val="00E3123D"/>
    <w:rsid w:val="00E31461"/>
    <w:rsid w:val="00E3157B"/>
    <w:rsid w:val="00E31D43"/>
    <w:rsid w:val="00E32608"/>
    <w:rsid w:val="00E3284B"/>
    <w:rsid w:val="00E34188"/>
    <w:rsid w:val="00E34B6E"/>
    <w:rsid w:val="00E35559"/>
    <w:rsid w:val="00E3723A"/>
    <w:rsid w:val="00E37860"/>
    <w:rsid w:val="00E41EBD"/>
    <w:rsid w:val="00E446F1"/>
    <w:rsid w:val="00E46886"/>
    <w:rsid w:val="00E47AEF"/>
    <w:rsid w:val="00E513FE"/>
    <w:rsid w:val="00E53B75"/>
    <w:rsid w:val="00E54E3B"/>
    <w:rsid w:val="00E57565"/>
    <w:rsid w:val="00E63838"/>
    <w:rsid w:val="00E64434"/>
    <w:rsid w:val="00E652B8"/>
    <w:rsid w:val="00E6560C"/>
    <w:rsid w:val="00E67C51"/>
    <w:rsid w:val="00E72EFC"/>
    <w:rsid w:val="00E758EC"/>
    <w:rsid w:val="00E769C7"/>
    <w:rsid w:val="00E8234C"/>
    <w:rsid w:val="00E82F50"/>
    <w:rsid w:val="00E83AA9"/>
    <w:rsid w:val="00E85928"/>
    <w:rsid w:val="00E86138"/>
    <w:rsid w:val="00E865FF"/>
    <w:rsid w:val="00E86AEF"/>
    <w:rsid w:val="00E8780A"/>
    <w:rsid w:val="00E87822"/>
    <w:rsid w:val="00E90395"/>
    <w:rsid w:val="00E90E49"/>
    <w:rsid w:val="00E917F9"/>
    <w:rsid w:val="00E9291C"/>
    <w:rsid w:val="00E93FFE"/>
    <w:rsid w:val="00E94DBB"/>
    <w:rsid w:val="00E94F8A"/>
    <w:rsid w:val="00EA7A41"/>
    <w:rsid w:val="00EB077B"/>
    <w:rsid w:val="00EB1766"/>
    <w:rsid w:val="00EB328A"/>
    <w:rsid w:val="00EB4EA2"/>
    <w:rsid w:val="00EB63CC"/>
    <w:rsid w:val="00EC06E4"/>
    <w:rsid w:val="00EC1CCC"/>
    <w:rsid w:val="00EC24D5"/>
    <w:rsid w:val="00EC27C6"/>
    <w:rsid w:val="00EC3091"/>
    <w:rsid w:val="00EC4207"/>
    <w:rsid w:val="00EC4710"/>
    <w:rsid w:val="00EC51C6"/>
    <w:rsid w:val="00EC5653"/>
    <w:rsid w:val="00EC71CE"/>
    <w:rsid w:val="00EC72A0"/>
    <w:rsid w:val="00EC7825"/>
    <w:rsid w:val="00ED1006"/>
    <w:rsid w:val="00ED1FB9"/>
    <w:rsid w:val="00ED773A"/>
    <w:rsid w:val="00EE4CD2"/>
    <w:rsid w:val="00EE548A"/>
    <w:rsid w:val="00EF18FE"/>
    <w:rsid w:val="00EF5787"/>
    <w:rsid w:val="00EF60D0"/>
    <w:rsid w:val="00F025E8"/>
    <w:rsid w:val="00F02755"/>
    <w:rsid w:val="00F02805"/>
    <w:rsid w:val="00F0528D"/>
    <w:rsid w:val="00F06C67"/>
    <w:rsid w:val="00F06DFD"/>
    <w:rsid w:val="00F071D1"/>
    <w:rsid w:val="00F07533"/>
    <w:rsid w:val="00F10629"/>
    <w:rsid w:val="00F1327A"/>
    <w:rsid w:val="00F15FA5"/>
    <w:rsid w:val="00F1671F"/>
    <w:rsid w:val="00F209B7"/>
    <w:rsid w:val="00F2376F"/>
    <w:rsid w:val="00F2437C"/>
    <w:rsid w:val="00F243D8"/>
    <w:rsid w:val="00F2561B"/>
    <w:rsid w:val="00F27A9E"/>
    <w:rsid w:val="00F30828"/>
    <w:rsid w:val="00F30A46"/>
    <w:rsid w:val="00F313D6"/>
    <w:rsid w:val="00F31623"/>
    <w:rsid w:val="00F32C74"/>
    <w:rsid w:val="00F3300D"/>
    <w:rsid w:val="00F4098E"/>
    <w:rsid w:val="00F40F0C"/>
    <w:rsid w:val="00F42C34"/>
    <w:rsid w:val="00F4766C"/>
    <w:rsid w:val="00F5060E"/>
    <w:rsid w:val="00F507D1"/>
    <w:rsid w:val="00F519CE"/>
    <w:rsid w:val="00F51ADA"/>
    <w:rsid w:val="00F60203"/>
    <w:rsid w:val="00F607C5"/>
    <w:rsid w:val="00F60DEA"/>
    <w:rsid w:val="00F6267E"/>
    <w:rsid w:val="00F6302A"/>
    <w:rsid w:val="00F63950"/>
    <w:rsid w:val="00F64C2B"/>
    <w:rsid w:val="00F651BE"/>
    <w:rsid w:val="00F67F53"/>
    <w:rsid w:val="00F703BE"/>
    <w:rsid w:val="00F70974"/>
    <w:rsid w:val="00F71F69"/>
    <w:rsid w:val="00F72B72"/>
    <w:rsid w:val="00F74BB9"/>
    <w:rsid w:val="00F75582"/>
    <w:rsid w:val="00F76EFA"/>
    <w:rsid w:val="00F804BE"/>
    <w:rsid w:val="00F8082A"/>
    <w:rsid w:val="00F817CE"/>
    <w:rsid w:val="00F83FCF"/>
    <w:rsid w:val="00F8456C"/>
    <w:rsid w:val="00F859D8"/>
    <w:rsid w:val="00F868F5"/>
    <w:rsid w:val="00F86FF2"/>
    <w:rsid w:val="00F9007B"/>
    <w:rsid w:val="00F9056A"/>
    <w:rsid w:val="00F90F8D"/>
    <w:rsid w:val="00F92782"/>
    <w:rsid w:val="00F92AA3"/>
    <w:rsid w:val="00F93AA9"/>
    <w:rsid w:val="00F9533F"/>
    <w:rsid w:val="00F95E09"/>
    <w:rsid w:val="00F96985"/>
    <w:rsid w:val="00F97838"/>
    <w:rsid w:val="00FA14E9"/>
    <w:rsid w:val="00FA2BB3"/>
    <w:rsid w:val="00FA55E1"/>
    <w:rsid w:val="00FA66DE"/>
    <w:rsid w:val="00FB3F84"/>
    <w:rsid w:val="00FB4C80"/>
    <w:rsid w:val="00FB6A6A"/>
    <w:rsid w:val="00FB6D07"/>
    <w:rsid w:val="00FB7E56"/>
    <w:rsid w:val="00FC14B5"/>
    <w:rsid w:val="00FC3FB3"/>
    <w:rsid w:val="00FC732D"/>
    <w:rsid w:val="00FC7429"/>
    <w:rsid w:val="00FD07F6"/>
    <w:rsid w:val="00FD09E7"/>
    <w:rsid w:val="00FD1EC8"/>
    <w:rsid w:val="00FD3974"/>
    <w:rsid w:val="00FD47ED"/>
    <w:rsid w:val="00FD74DB"/>
    <w:rsid w:val="00FD7660"/>
    <w:rsid w:val="00FE0655"/>
    <w:rsid w:val="00FE2365"/>
    <w:rsid w:val="00FE37D7"/>
    <w:rsid w:val="00FE3B6D"/>
    <w:rsid w:val="00FE4154"/>
    <w:rsid w:val="00FE4C7B"/>
    <w:rsid w:val="00FE7336"/>
    <w:rsid w:val="00FE787C"/>
    <w:rsid w:val="00FF2C66"/>
    <w:rsid w:val="00FF352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68104A"/>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C15FCA"/>
    <w:rPr>
      <w:rFonts w:ascii="Arial" w:eastAsiaTheme="minorHAnsi" w:hAnsi="Arial" w:cstheme="minorBidi"/>
      <w:sz w:val="18"/>
      <w:szCs w:val="22"/>
      <w:lang w:val="x-none" w:eastAsia="x-none"/>
    </w:rPr>
  </w:style>
  <w:style w:type="character" w:customStyle="1" w:styleId="B1Char">
    <w:name w:val="B1 Char"/>
    <w:qFormat/>
    <w:rsid w:val="00C15FCA"/>
    <w:rPr>
      <w:rFonts w:eastAsia="Times New Roman"/>
    </w:rPr>
  </w:style>
  <w:style w:type="character" w:styleId="UnresolvedMention">
    <w:name w:val="Unresolved Mention"/>
    <w:basedOn w:val="DefaultParagraphFont"/>
    <w:uiPriority w:val="99"/>
    <w:unhideWhenUsed/>
    <w:rsid w:val="00F31623"/>
    <w:rPr>
      <w:color w:val="605E5C"/>
      <w:shd w:val="clear" w:color="auto" w:fill="E1DFDD"/>
    </w:rPr>
  </w:style>
  <w:style w:type="character" w:styleId="Mention">
    <w:name w:val="Mention"/>
    <w:basedOn w:val="DefaultParagraphFont"/>
    <w:uiPriority w:val="99"/>
    <w:unhideWhenUsed/>
    <w:rsid w:val="00F31623"/>
    <w:rPr>
      <w:color w:val="2B579A"/>
      <w:shd w:val="clear" w:color="auto" w:fill="E1DFDD"/>
    </w:rPr>
  </w:style>
  <w:style w:type="character" w:customStyle="1" w:styleId="B1Zchn">
    <w:name w:val="B1 Zchn"/>
    <w:qFormat/>
    <w:rsid w:val="00F31623"/>
    <w:rPr>
      <w:lang w:eastAsia="en-US"/>
    </w:rPr>
  </w:style>
  <w:style w:type="paragraph" w:customStyle="1" w:styleId="a">
    <w:name w:val="??"/>
    <w:rsid w:val="00D369B6"/>
    <w:pPr>
      <w:widowControl w:val="0"/>
    </w:pPr>
    <w:rPr>
      <w:rFonts w:ascii="Times New Roman" w:eastAsiaTheme="minorEastAsia" w:hAnsi="Times New Roman"/>
      <w:lang w:val="en-US" w:eastAsia="en-US"/>
    </w:rPr>
  </w:style>
  <w:style w:type="character" w:styleId="PlaceholderText">
    <w:name w:val="Placeholder Text"/>
    <w:basedOn w:val="DefaultParagraphFont"/>
    <w:uiPriority w:val="99"/>
    <w:semiHidden/>
    <w:rsid w:val="00346722"/>
    <w:rPr>
      <w:color w:val="808080"/>
    </w:rPr>
  </w:style>
  <w:style w:type="paragraph" w:customStyle="1" w:styleId="Observation1">
    <w:name w:val="Observation 1"/>
    <w:basedOn w:val="Observation"/>
    <w:link w:val="Observation1Char"/>
    <w:rsid w:val="0068104A"/>
  </w:style>
  <w:style w:type="character" w:customStyle="1" w:styleId="ProposalChar">
    <w:name w:val="Proposal Char"/>
    <w:basedOn w:val="BodyTextChar"/>
    <w:link w:val="Proposal"/>
    <w:rsid w:val="0068104A"/>
    <w:rPr>
      <w:rFonts w:ascii="Arial" w:eastAsiaTheme="minorHAnsi" w:hAnsi="Arial" w:cstheme="minorBidi"/>
      <w:b/>
      <w:bCs/>
      <w:szCs w:val="22"/>
      <w:lang w:val="en-US" w:eastAsia="zh-CN"/>
    </w:rPr>
  </w:style>
  <w:style w:type="character" w:customStyle="1" w:styleId="ObservationChar">
    <w:name w:val="Observation Char"/>
    <w:basedOn w:val="ProposalChar"/>
    <w:link w:val="Observation"/>
    <w:rsid w:val="0068104A"/>
    <w:rPr>
      <w:rFonts w:ascii="Arial" w:eastAsiaTheme="minorHAnsi" w:hAnsi="Arial" w:cstheme="minorBidi"/>
      <w:b/>
      <w:bCs/>
      <w:szCs w:val="22"/>
      <w:lang w:val="en-US" w:eastAsia="ja-JP"/>
    </w:rPr>
  </w:style>
  <w:style w:type="character" w:customStyle="1" w:styleId="Observation1Char">
    <w:name w:val="Observation 1 Char"/>
    <w:basedOn w:val="ObservationChar"/>
    <w:link w:val="Observation1"/>
    <w:rsid w:val="0068104A"/>
    <w:rPr>
      <w:rFonts w:ascii="Arial" w:eastAsiaTheme="minorHAnsi" w:hAnsi="Arial" w:cstheme="minorBidi"/>
      <w:b/>
      <w:bCs/>
      <w:szCs w:val="22"/>
      <w:lang w:val="en-US" w:eastAsia="ja-JP"/>
    </w:rPr>
  </w:style>
  <w:style w:type="paragraph" w:styleId="Revision">
    <w:name w:val="Revision"/>
    <w:hidden/>
    <w:uiPriority w:val="99"/>
    <w:semiHidden/>
    <w:rsid w:val="004D60D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7494371">
      <w:bodyDiv w:val="1"/>
      <w:marLeft w:val="0"/>
      <w:marRight w:val="0"/>
      <w:marTop w:val="0"/>
      <w:marBottom w:val="0"/>
      <w:divBdr>
        <w:top w:val="none" w:sz="0" w:space="0" w:color="auto"/>
        <w:left w:val="none" w:sz="0" w:space="0" w:color="auto"/>
        <w:bottom w:val="none" w:sz="0" w:space="0" w:color="auto"/>
        <w:right w:val="none" w:sz="0" w:space="0" w:color="auto"/>
      </w:divBdr>
    </w:div>
    <w:div w:id="159983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61A2E80-E193-4B6E-98A7-864CCD2E01C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89C166-6A86-44FB-B0AA-B128620D4386}">
  <ds:schemaRefs>
    <ds:schemaRef ds:uri="http://schemas.openxmlformats.org/officeDocument/2006/bibliography"/>
  </ds:schemaRefs>
</ds:datastoreItem>
</file>

<file path=customXml/itemProps2.xml><?xml version="1.0" encoding="utf-8"?>
<ds:datastoreItem xmlns:ds="http://schemas.openxmlformats.org/officeDocument/2006/customXml" ds:itemID="{1C535D46-45F7-4288-AD02-3B97A706C758}"/>
</file>

<file path=customXml/itemProps3.xml><?xml version="1.0" encoding="utf-8"?>
<ds:datastoreItem xmlns:ds="http://schemas.openxmlformats.org/officeDocument/2006/customXml" ds:itemID="{8C4887A2-863E-4386-BC59-A1D11257CD46}">
  <ds:schemaRefs>
    <ds:schemaRef ds:uri="http://www.w3.org/XML/1998/namespace"/>
    <ds:schemaRef ds:uri="http://purl.org/dc/dcmitype/"/>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schemas.microsoft.com/sharepoint/v3"/>
    <ds:schemaRef ds:uri="http://schemas.microsoft.com/office/infopath/2007/PartnerControls"/>
    <ds:schemaRef ds:uri="9b239327-9e80-40e4-b1b7-4394fed77a33"/>
    <ds:schemaRef ds:uri="2f282d3b-eb4a-4b09-b61f-b9593442e286"/>
    <ds:schemaRef ds:uri="http://purl.org/dc/terms/"/>
  </ds:schemaRefs>
</ds:datastoreItem>
</file>

<file path=customXml/itemProps4.xml><?xml version="1.0" encoding="utf-8"?>
<ds:datastoreItem xmlns:ds="http://schemas.openxmlformats.org/officeDocument/2006/customXml" ds:itemID="{367206AB-4476-4E4B-951F-32D01457F0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2182</Words>
  <Characters>11081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zhipeng.lin@ericsson.com</dc:creator>
  <cp:keywords/>
  <dc:description/>
  <cp:lastModifiedBy>Zhipeng</cp:lastModifiedBy>
  <cp:revision>78</cp:revision>
  <dcterms:created xsi:type="dcterms:W3CDTF">2021-04-06T08:40:00Z</dcterms:created>
  <dcterms:modified xsi:type="dcterms:W3CDTF">2021-04-06T10:27:00Z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